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72C9">
      <w:pPr>
        <w:ind w:firstLine="560" w:firstLineChars="200"/>
        <w:jc w:val="left"/>
        <w:rPr>
          <w:rFonts w:hint="eastAsia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6019E01D">
      <w:pPr>
        <w:ind w:firstLine="560" w:firstLineChars="200"/>
        <w:jc w:val="left"/>
        <w:rPr>
          <w:rFonts w:hint="eastAsia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1D2DE2A0">
      <w:pPr>
        <w:ind w:firstLine="560" w:firstLineChars="200"/>
        <w:jc w:val="left"/>
        <w:rPr>
          <w:rFonts w:hint="eastAsia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</w:pPr>
    </w:p>
    <w:p w14:paraId="2535E44B">
      <w:pPr>
        <w:ind w:firstLine="200"/>
        <w:jc w:val="center"/>
        <w:rPr>
          <w:rFonts w:hint="eastAsia" w:ascii="宋体" w:hAnsi="宋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梁河县</w:t>
      </w:r>
      <w:r>
        <w:rPr>
          <w:rFonts w:hint="eastAsia" w:ascii="宋体" w:hAnsi="宋体"/>
          <w:b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/>
          <w:b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宋体" w:hAnsi="宋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提质增效项目</w:t>
      </w:r>
    </w:p>
    <w:p w14:paraId="5756B81A">
      <w:pPr>
        <w:ind w:firstLine="200"/>
        <w:jc w:val="center"/>
        <w:rPr>
          <w:rFonts w:hint="eastAsia" w:ascii="宋体" w:hAnsi="宋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实施方案</w:t>
      </w:r>
    </w:p>
    <w:p w14:paraId="10113FE7">
      <w:pPr>
        <w:ind w:firstLine="562" w:firstLineChars="200"/>
        <w:jc w:val="left"/>
        <w:rPr>
          <w:rFonts w:hint="eastAsia"/>
          <w:b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</w:pPr>
    </w:p>
    <w:p w14:paraId="17A62161">
      <w:pPr>
        <w:ind w:firstLine="560" w:firstLineChars="200"/>
        <w:jc w:val="left"/>
        <w:rPr>
          <w:rFonts w:hint="eastAsia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</w:pPr>
    </w:p>
    <w:p w14:paraId="1DC39A30">
      <w:pPr>
        <w:ind w:firstLine="560" w:firstLineChars="200"/>
        <w:jc w:val="left"/>
        <w:rPr>
          <w:rFonts w:hint="eastAsia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381E9266">
      <w:pPr>
        <w:tabs>
          <w:tab w:val="left" w:pos="6336"/>
        </w:tabs>
        <w:ind w:firstLine="560" w:firstLineChars="200"/>
        <w:jc w:val="left"/>
        <w:rPr>
          <w:rFonts w:hint="eastAsia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ab/>
      </w:r>
    </w:p>
    <w:p w14:paraId="6444DD99">
      <w:pPr>
        <w:ind w:firstLine="560" w:firstLineChars="200"/>
        <w:jc w:val="left"/>
        <w:rPr>
          <w:rFonts w:hint="eastAsia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7928EE85">
      <w:pPr>
        <w:ind w:firstLine="560" w:firstLineChars="200"/>
        <w:jc w:val="left"/>
        <w:rPr>
          <w:rFonts w:hint="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67DAB376">
      <w:pPr>
        <w:ind w:firstLine="560" w:firstLineChars="200"/>
        <w:jc w:val="left"/>
        <w:rPr>
          <w:rFonts w:hint="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4B91147D">
      <w:pPr>
        <w:ind w:firstLine="560" w:firstLineChars="200"/>
        <w:jc w:val="left"/>
        <w:rPr>
          <w:rFonts w:hint="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6C0D8594">
      <w:pPr>
        <w:ind w:firstLine="560" w:firstLineChars="200"/>
        <w:jc w:val="left"/>
        <w:rPr>
          <w:rFonts w:hint="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0BA537A9">
      <w:pPr>
        <w:ind w:firstLine="560" w:firstLineChars="200"/>
        <w:jc w:val="left"/>
        <w:rPr>
          <w:rFonts w:hint="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0CE7CDD2">
      <w:pPr>
        <w:ind w:firstLine="560" w:firstLineChars="200"/>
        <w:jc w:val="left"/>
        <w:rPr>
          <w:rFonts w:hint="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4CEB100C">
      <w:pPr>
        <w:ind w:firstLine="640" w:firstLineChars="200"/>
        <w:jc w:val="center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038E87">
      <w:pPr>
        <w:ind w:firstLine="200"/>
        <w:jc w:val="center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梁河县林业</w:t>
      </w: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和草原局</w:t>
      </w:r>
    </w:p>
    <w:p w14:paraId="45E30322">
      <w:pPr>
        <w:ind w:firstLine="200"/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 w14:paraId="00B37E0F">
      <w:pPr>
        <w:jc w:val="center"/>
        <w:rPr>
          <w:rFonts w:hint="eastAsia" w:ascii="仿宋" w:hAnsi="仿宋" w:eastAsia="仿宋" w:cs="仿宋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402253163"/>
      <w:r>
        <w:rPr>
          <w:rFonts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前  言</w:t>
      </w:r>
    </w:p>
    <w:p w14:paraId="484AF8CD">
      <w:pPr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油茶油是一种高级食用油，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提质增效项目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提高油茶产量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保障粮油生产的重要举措，“藏油于林”对于保障粮油安全具有重大意义。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油茶产业提质增效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是促进我县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油茶产业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健康发展，助推实施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乡村振兴战略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的重要措施。</w:t>
      </w:r>
    </w:p>
    <w:p w14:paraId="7EA8B4D6">
      <w:pPr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德宏州林业和草原局关于下达2022年度林草重点计划任务的通知》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NO：053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德宏州财政局 德宏州林业和草原局关于下达2022年第二批中央财政林业改革发展资金（非直达资金部分）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德财综2022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号）文件精神。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我县结合实际，整合使用资金300万元用于开展油茶提质增效项目建设工作。县林草局及时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组织县乡技术人员深入村寨，开展宣传工作，按照农户自愿的原则。由农户自愿报名，乡镇林业站审核把关，确定项目实施主体。</w:t>
      </w:r>
    </w:p>
    <w:p w14:paraId="7E163EEC">
      <w:pPr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在作业设计过程中得到了州林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局的精心指导和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实施乡镇林业站的大力支持，特别是专业技术员付出了辛勤劳动，在此一并表示衷心的感谢！</w:t>
      </w:r>
    </w:p>
    <w:p w14:paraId="47A0E25D">
      <w:pPr>
        <w:ind w:firstLine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4F13D3">
      <w:pPr>
        <w:ind w:firstLine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F52D64">
      <w:pPr>
        <w:ind w:firstLine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130363"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Toc452456056"/>
    </w:p>
    <w:p w14:paraId="7236BFC0"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1553FC"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项目提要</w:t>
      </w:r>
      <w:bookmarkEnd w:id="0"/>
      <w:bookmarkEnd w:id="1"/>
    </w:p>
    <w:p w14:paraId="599A0EC0">
      <w:pPr>
        <w:ind w:left="1400" w:hanging="1600" w:hangingChars="5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项目名称：梁河县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提质增效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EE8F766"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项目建设单位：梁河县林业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和草原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</w:p>
    <w:p w14:paraId="5C9F4DD2"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项目建设单位负责人：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段双宝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（局长）</w:t>
      </w:r>
    </w:p>
    <w:p w14:paraId="7015A55F"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项目设计单位：梁河县林业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和草原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</w:p>
    <w:p w14:paraId="1AD27D6B">
      <w:pPr>
        <w:ind w:left="1680" w:hanging="1920" w:hangingChars="6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规模与布局：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项目布局于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个乡镇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提质增效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000亩。</w:t>
      </w:r>
    </w:p>
    <w:p w14:paraId="1DC055A6">
      <w:pPr>
        <w:ind w:left="1400" w:hanging="1600" w:hangingChars="5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投资测算：项目建设总投资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59B6A5CA"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项目设计负责人：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蚌灵翔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（工程师）</w:t>
      </w:r>
    </w:p>
    <w:p w14:paraId="0E94DCAE"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项目编制：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周红明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（助理工程师）</w:t>
      </w:r>
    </w:p>
    <w:p w14:paraId="6777AE9A"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外业技术指导：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饶万邦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（高级工程师） </w:t>
      </w:r>
    </w:p>
    <w:p w14:paraId="38D149A3">
      <w:pPr>
        <w:spacing w:line="480" w:lineRule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参加设计调查人员：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苏炳阳、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吴小魏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张彦愉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闫自发、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蔺应礼、王玉锁、杨双东、熊开伟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何明垄、晏照磊、张如才、宋庆仙、付倩、赵兴如、许平、杨荣嵘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李晓芳、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赵静、唐永乐、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周文芬、姚年昌、孙向廷、孙廷华、段如龙、陈贵玲、徐琼、张德区、孙韩廷、张奇才、闫凤仙</w:t>
      </w:r>
    </w:p>
    <w:p w14:paraId="27447332"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221F21F"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047E8F6">
      <w:pPr>
        <w:pStyle w:val="2"/>
        <w:rPr>
          <w:rFonts w:hint="eastAsia"/>
        </w:rPr>
      </w:pPr>
    </w:p>
    <w:p w14:paraId="3A96F4DC"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  核：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杨世富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（副局长）</w:t>
      </w:r>
    </w:p>
    <w:p w14:paraId="2ABFD9E9">
      <w:pPr>
        <w:spacing w:before="0" w:after="0"/>
        <w:ind w:firstLine="200"/>
        <w:jc w:val="center"/>
        <w:outlineLvl w:val="9"/>
        <w:rPr>
          <w:rFonts w:hint="eastAsia" w:ascii="仿宋" w:hAnsi="仿宋" w:eastAsia="仿宋" w:cs="仿宋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" w:name="_Toc472586647"/>
      <w:bookmarkStart w:id="3" w:name="_Toc472586472"/>
      <w:bookmarkStart w:id="4" w:name="_Toc452456057"/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目    录</w:t>
      </w:r>
      <w:bookmarkEnd w:id="2"/>
      <w:bookmarkEnd w:id="3"/>
      <w:bookmarkEnd w:id="4"/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instrText xml:space="preserve"> TOC \o "1-2" \h \z \u </w:instrTex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fldChar w:fldCharType="separate"/>
      </w:r>
    </w:p>
    <w:p w14:paraId="7D680045">
      <w:pPr>
        <w:pStyle w:val="6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_Toc11398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1 基本概况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_Toc11398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06B2B668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_Toc8349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1.1 地形地貌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_Toc8349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52A27695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_Toc7969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1.2 气候条件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_Toc7969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6A24931F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_Toc11115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1.3 水文及土壤资源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_Toc11115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55963368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_Toc26232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1.4 森林植被资源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_Toc26232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4EE8D892">
      <w:pPr>
        <w:pStyle w:val="6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_Toc28480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2 项目背景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_Toc28480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2438C021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_Toc23049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2.1设计依据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_Toc23049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2B555D64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_Toc12671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2.2布局原则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_Toc12671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5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3B3E5DFE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_Toc11805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2.3政策宣传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_Toc11805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5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0B123F56">
      <w:pPr>
        <w:pStyle w:val="6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_Toc4081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3  项目设计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_Toc4081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5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22F952A2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_Toc345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3.1</w:t>
      </w:r>
      <w:r>
        <w:rPr>
          <w:rFonts w:hint="eastAsia" w:ascii="仿宋" w:hAnsi="仿宋" w:eastAsia="仿宋" w:cs="仿宋"/>
          <w:bCs/>
          <w:sz w:val="32"/>
          <w:szCs w:val="32"/>
        </w:rPr>
        <w:t>地块选择原则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_Toc345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5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6F1DFA8E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_Toc20134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3.2</w:t>
      </w: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改造类型</w:t>
      </w:r>
      <w:r>
        <w:rPr>
          <w:rFonts w:hint="eastAsia" w:ascii="仿宋" w:hAnsi="仿宋" w:eastAsia="仿宋" w:cs="仿宋"/>
          <w:bCs w:val="0"/>
          <w:sz w:val="32"/>
          <w:szCs w:val="32"/>
        </w:rPr>
        <w:t>确定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_Toc20134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5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45ABC9D7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_Toc4002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3.3树种特性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_Toc4002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7472B5D4">
      <w:pPr>
        <w:pStyle w:val="6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_Toc27063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4  组织实施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_Toc27063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78CE4487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_Toc32077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4.1实施方式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_Toc32077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5CC9F4F8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_Toc12863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4.2项目布局及进度安排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_Toc12863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7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7DDA07DE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_Toc1208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4.3实施措施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_Toc1208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7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6D947329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_Toc14350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4.4保障措施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_Toc14350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9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4B97322F">
      <w:pPr>
        <w:pStyle w:val="6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_Toc25020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5  投资概算及资金筹措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_Toc25020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10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3777B41B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_Toc3539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5.1项目概算主要技术经济指标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_Toc3539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10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0E7DD91C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_Toc29079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5.2单位面积投资概算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_Toc29079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10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7379575A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_Toc9182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5.3项目投资概算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_Toc9182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11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382B66A8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_Toc29504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sz w:val="32"/>
          <w:szCs w:val="32"/>
        </w:rPr>
        <w:t>5.4建设总投资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_Toc29504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12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2993510B">
      <w:pPr>
        <w:pStyle w:val="6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_Toc5542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6  效益估算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_Toc5542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13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2FB8E4EE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_Toc29507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6.1 生态效益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_Toc29507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13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46F23B3C">
      <w:pPr>
        <w:pStyle w:val="8"/>
        <w:tabs>
          <w:tab w:val="right" w:leader="dot" w:pos="8820"/>
        </w:tabs>
        <w:rPr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_Toc26798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6.2 经济效益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_Toc26798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13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4873E404">
      <w:pPr>
        <w:pStyle w:val="8"/>
        <w:tabs>
          <w:tab w:val="right" w:leader="dot" w:pos="8820"/>
        </w:tabs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_Toc1943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2"/>
        </w:rPr>
        <w:t>6.3社会效益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_Toc1943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13</w:t>
      </w:r>
      <w:r>
        <w:rPr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492F4488">
      <w:pPr>
        <w:pStyle w:val="10"/>
        <w:spacing w:before="0" w:after="0"/>
        <w:ind w:firstLine="200"/>
        <w:jc w:val="center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fldChar w:fldCharType="end"/>
      </w:r>
    </w:p>
    <w:p w14:paraId="2E9541AC">
      <w:pPr>
        <w:ind w:firstLine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440" w:right="1286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FDD415E">
      <w:pPr>
        <w:pStyle w:val="3"/>
        <w:spacing w:before="0" w:after="0" w:line="240" w:lineRule="auto"/>
        <w:ind w:firstLine="200"/>
        <w:jc w:val="left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Toc11398"/>
      <w:bookmarkStart w:id="6" w:name="_Toc342632748"/>
      <w:bookmarkStart w:id="7" w:name="_Toc403027854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 基本概况</w:t>
      </w:r>
      <w:bookmarkEnd w:id="5"/>
    </w:p>
    <w:p w14:paraId="5D121C18">
      <w:pPr>
        <w:pStyle w:val="4"/>
        <w:spacing w:before="0" w:after="0" w:line="240" w:lineRule="auto"/>
        <w:ind w:firstLine="200"/>
        <w:jc w:val="left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8349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1.1 地形地貌</w:t>
      </w:r>
      <w:bookmarkEnd w:id="8"/>
    </w:p>
    <w:p w14:paraId="188BDF52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梁河县地处云南省西部，位于德宏傣族景颇族自治州东北部，地理坐标介于东经98°06′～ 98°31′，北纬24°31′～ 24°58′之间。东北与腾冲县交界，东南与潞西市、龙陵县毗邻，西与盈江县接壤，西南与陇川县相连。县境南北最大纵距约49km，东西最大横距约45km，全县土地总面积113770hm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vertAlign w:val="superscript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，山区、半山区占全县总面积的87.8%。辖6乡3镇，全县总人口17万人，是一个多民族聚居的县，居住着汉、傣、景颇、阿昌、德昂、傈僳、佤等13个民族，少数民族人口占总人口的34.3％。</w:t>
      </w:r>
    </w:p>
    <w:p w14:paraId="6BE753E8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梁河县地貌分为中山、低山、台阶地、河谷平坝和火山锥熔岩地五个类型。境内山脉和平坝相间分布，大致呈东北—西南走向，主要河谷平坝有遮岛坝、萝卜坝、勐养坝等大坝子和勐蚌坝、曩鹅坝、勐陇坝、勐来坝等小坝子。</w:t>
      </w:r>
    </w:p>
    <w:p w14:paraId="1F15E949">
      <w:pPr>
        <w:pStyle w:val="4"/>
        <w:spacing w:before="0" w:after="0" w:line="240" w:lineRule="auto"/>
        <w:ind w:firstLine="200"/>
        <w:jc w:val="left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9" w:name="_Toc7969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1.2 气候条件</w:t>
      </w:r>
      <w:bookmarkEnd w:id="9"/>
    </w:p>
    <w:p w14:paraId="5278EAC9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firstLine="640"/>
        <w:jc w:val="left"/>
        <w:rPr>
          <w:rFonts w:hint="eastAsia" w:ascii="仿宋" w:hAnsi="仿宋" w:eastAsia="仿宋" w:cs="仿宋"/>
          <w:bCs/>
          <w:snapToGrid w:val="0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梁河县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气候概属亚热带湿润季风气候，具有低纬气候、季风气候、山原气候的特征。</w:t>
      </w:r>
      <w:r>
        <w:rPr>
          <w:rFonts w:hint="eastAsia" w:ascii="仿宋" w:hAnsi="仿宋" w:eastAsia="仿宋" w:cs="仿宋"/>
          <w:bCs/>
          <w:snapToGrid w:val="0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梁河县雨量充沛，气候温和，立体气候明显，并有多种多样的地形小气候，明显的气候特征是：春秋温暖、夏季湿热多雨、冬无严寒、干湿季分明、日照强烈、雨量充沛、温差变幅较小而日较差大。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年均气温18.4℃，年均降雨量为1415.5毫米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相对湿度为79%，最高海拔为2672.8米，最低海拔为860米。</w:t>
      </w:r>
      <w:r>
        <w:rPr>
          <w:rFonts w:hint="eastAsia" w:ascii="仿宋" w:hAnsi="仿宋" w:eastAsia="仿宋" w:cs="仿宋"/>
          <w:bCs/>
          <w:snapToGrid w:val="0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梁河县雨季一般为5月～10月，11月至次年4月为干季年均日照时数2385.3h；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有霜日少，无霜期长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snapToGrid w:val="0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始霜期多在12月，终霜期为2月，无霜期288a；盛行西南风，平均风速2.3 m/s。</w:t>
      </w:r>
    </w:p>
    <w:p w14:paraId="1F2AE073">
      <w:pPr>
        <w:pStyle w:val="4"/>
        <w:spacing w:before="0" w:after="0" w:line="240" w:lineRule="auto"/>
        <w:ind w:firstLine="200"/>
        <w:jc w:val="left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11115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1.3 水文及土壤资源</w:t>
      </w:r>
      <w:bookmarkEnd w:id="10"/>
    </w:p>
    <w:p w14:paraId="0B9A247C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梁河县境内河流属伊洛瓦底江水系，境内沟壑交错</w:t>
      </w:r>
      <w:r>
        <w:rPr>
          <w:rFonts w:hint="eastAsia" w:ascii="仿宋" w:hAnsi="仿宋" w:eastAsia="仿宋" w:cs="仿宋"/>
          <w:color w:val="000000" w:themeColor="text1"/>
          <w:spacing w:val="-10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水网密布</w:t>
      </w:r>
      <w:r>
        <w:rPr>
          <w:rFonts w:hint="eastAsia" w:ascii="仿宋" w:hAnsi="仿宋" w:eastAsia="仿宋" w:cs="仿宋"/>
          <w:color w:val="000000" w:themeColor="text1"/>
          <w:spacing w:val="-10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全县境内大小河流7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长678.9公里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,主要河流有南底河、萝卜坝河、龙江、曩宋河、曩滚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条河流，常称“两江一河”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大盈江、龙江为过境河，萝卜坝河为境内河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以及弄另水库、油竹坝水库等水文资源。且全县地热资源丰富，具有一定流量规模的温泉共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处，主要分布于平山乡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曩宋乡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河西乡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遮岛镇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芒东镇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勐养镇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包括龙窝温泉、丙赛温泉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底养温泉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热水塘温泉等，其中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40℃-60℃的温泉居多。 </w:t>
      </w:r>
    </w:p>
    <w:p w14:paraId="0D48201A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梁河县境内地质构造复杂，成土母质种类多样，在地形、气候、生物等成土因素的作用下，形成的森林土壤有棕壤、黄棕壤、黄壤、红壤、赤红壤、石灰土六个土类，石灰土为非地带性土壤。森林土壤的垂直分布明显，从低到高，依次分布着赤红壤、红壤、黄壤、黄棕壤、棕壤。</w:t>
      </w:r>
    </w:p>
    <w:p w14:paraId="07BB0503">
      <w:pPr>
        <w:pStyle w:val="4"/>
        <w:spacing w:before="0" w:after="0" w:line="240" w:lineRule="auto"/>
        <w:ind w:firstLine="200"/>
        <w:jc w:val="left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" w:name="_Toc26232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1.4 森林植被资源</w:t>
      </w:r>
      <w:bookmarkEnd w:id="11"/>
    </w:p>
    <w:p w14:paraId="22AC4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在云南植被区划上，梁河县北部地处亚热带常绿阔叶林区域，高原亚热带南部季风常绿阔叶林带，梁河、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龙陵中山山原思茅栲、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刺栲、截头石栎林亚区；南部地处热带季雨林、雨林区域，季风热带北缘季节雨林、半常绿季雨林地带，滇西南中山宽谷高榕、麻楝林亚区。由于地处过渡地带及复杂多样的地理条件，使得该地区具有植物种类繁多，植被类型多样的特点。据《梁河县高等植物名录》记载，梁河县有高等植物257科、1023属、2183种（含亚种、变种及变型）。</w:t>
      </w:r>
    </w:p>
    <w:p w14:paraId="1487B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梁河县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有良好的水土资源和气候条件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适宜多种植物生长，森林资源十分丰富，树木种类繁多，是一个天然物种基因库，森林植被类型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热带季雨林、阔叶和针叶林、暖温性阔叶林、温凉性阔叶林、凉性阔叶林五种森林植被类型。季风常绿阔叶林是梁河的森林代表类型，森林具有种类复杂、类型交错的过渡性地带植被特点。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梁河县2020年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森林资源主要指标监测结果，全县森林覆盖率达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林地面积为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85738.9448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hm2，其中：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有林地面76584.2842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hm2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（其中，乔木林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地面积 75031.2872hm2，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竹林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地面积1552.9970hm2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天然林面积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48727.0436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hm2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12" w:name="_Toc370925830"/>
    </w:p>
    <w:p w14:paraId="49BCD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1.5社会经济发展现状</w:t>
      </w:r>
      <w:bookmarkEnd w:id="12"/>
    </w:p>
    <w:p w14:paraId="1CA84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梁河县2022年全县总人口17.2万人（常住人口为134268人），城镇人口为41936人，是一个多民族聚居的县，居住着汉、傣、景颇、阿昌、德昂、傈僳、佤等13个民族，少数民族人口占总人口的34.3%。五大世居少数民族都有自己的传统节日，其中傣族的泼水节、阿昌族的阿露窝罗节、景颇族的目脑纵歌节、德昂族的浇花节、傈僳族的阔时节最具特色。</w:t>
      </w:r>
    </w:p>
    <w:p w14:paraId="77678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梁河县是德宏州唯一没有边境线的边疆县，是以种植粮、蔗、茶和畜牧养殖为主的农业县。2021年，全县实现地区生产总值41.43亿元，同比增长3.0%；农林牧渔业总产值20.03亿元，同比增长6.9%；一般公共财政预算收入1.89亿元，同比增长2.4%；规模以上固定资产投资32.14亿元，增长12.1%；社会消费品零售总额13.73亿元，同比下降10.1%；城镇常住居民人均可支配收入30449元，同比增长5.8%，农村常住居民人均可支配收入11143元，同比增长7.4%。梁河历史悠久、物产丰富，有较好的可开发资源，是投资兴业、居家旅行的绝佳选择。</w:t>
      </w:r>
    </w:p>
    <w:p w14:paraId="07454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1.6梁河县油茶产业发展现状</w:t>
      </w:r>
    </w:p>
    <w:p w14:paraId="139CB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油茶产业是我县重点发展的“两棵树”之一，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近年来，我县通过整地清理，修枝整形、施肥、道路维护等油茶提质增效项目建设内容，改造提升了一批油茶示范基地，大力推动了我县油茶产业的发展。截止2021年底，全县油茶保存面积4万亩，挂果面积2万亩，主要种植品种有白花油茶（普通油茶）及腾冲红花油茶。2021年全县油茶干籽产量为680.6吨，茶油95吨，实现产值2880万元。2022年上半年油茶加工产量近60吨，产值约960万元。                            </w:t>
      </w:r>
    </w:p>
    <w:p w14:paraId="581A4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" w:name="_Toc28480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 项目背景</w:t>
      </w:r>
      <w:bookmarkEnd w:id="13"/>
      <w:bookmarkStart w:id="14" w:name="_Toc403027855"/>
    </w:p>
    <w:p w14:paraId="098D2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5" w:name="_Toc23049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2.1设计依据</w:t>
      </w:r>
      <w:bookmarkEnd w:id="14"/>
      <w:bookmarkEnd w:id="15"/>
      <w:bookmarkStart w:id="16" w:name="_Toc403027856"/>
    </w:p>
    <w:p w14:paraId="7D10A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1.《德宏州林业和草原局关于下达2022年度林草重点计划任务的通知》（NO：053）</w:t>
      </w:r>
    </w:p>
    <w:p w14:paraId="4E92F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2.《德宏州财政局 德宏州林业和草原局关于下达2022年第二批中央财政林业改革发展资金（非直达资金部分）》（德财综2022〕62号）文件</w:t>
      </w:r>
    </w:p>
    <w:p w14:paraId="53F1641C">
      <w:pPr>
        <w:pStyle w:val="2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3.《梁河县财政局关于下达2022年第二批中央财政林业改革发展资金（非直达资金部分</w:t>
      </w:r>
      <w:bookmarkStart w:id="83" w:name="_GoBack"/>
      <w:bookmarkEnd w:id="83"/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）的通知》（梁财综【2022】87号）。</w:t>
      </w:r>
    </w:p>
    <w:p w14:paraId="1E063C96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7" w:name="_Toc12671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2.2布局原则</w:t>
      </w:r>
      <w:bookmarkEnd w:id="16"/>
      <w:bookmarkEnd w:id="17"/>
    </w:p>
    <w:p w14:paraId="0E906155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(1)谁实施补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谁原则。</w:t>
      </w:r>
    </w:p>
    <w:p w14:paraId="56989477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(2)公开、自愿原则。</w:t>
      </w:r>
    </w:p>
    <w:p w14:paraId="1EDFBBE3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(3)统一规划、合理布局，相对集中原则。</w:t>
      </w:r>
      <w:bookmarkStart w:id="18" w:name="_Toc403027857"/>
    </w:p>
    <w:p w14:paraId="0B989FC5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9" w:name="_Toc11805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2.3政策宣传</w:t>
      </w:r>
      <w:bookmarkEnd w:id="18"/>
      <w:bookmarkEnd w:id="19"/>
    </w:p>
    <w:p w14:paraId="4D699FBB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宣传时段：20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月—20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月。我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月接到上级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的油茶提质增效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任务后及时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将政策宣传到各乡镇林业站，再由护林员宣传到户。</w:t>
      </w:r>
    </w:p>
    <w:p w14:paraId="59D97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0" w:name="_Toc4081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  项目设计</w:t>
      </w:r>
      <w:bookmarkEnd w:id="6"/>
      <w:bookmarkEnd w:id="20"/>
      <w:bookmarkStart w:id="21" w:name="_Toc403027864"/>
    </w:p>
    <w:p w14:paraId="23976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2" w:name="_Toc345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</w:t>
      </w:r>
      <w:bookmarkEnd w:id="21"/>
      <w:bookmarkStart w:id="23" w:name="_Toc161161448"/>
      <w:bookmarkStart w:id="24" w:name="_Toc9566633"/>
      <w:bookmarkStart w:id="25" w:name="_Toc308100606"/>
      <w:bookmarkStart w:id="26" w:name="_Toc308101429"/>
      <w:bookmarkStart w:id="27" w:name="_Toc307156404"/>
      <w:bookmarkStart w:id="28" w:name="_Toc308099411"/>
      <w:bookmarkStart w:id="29" w:name="_Toc307156792"/>
      <w:bookmarkStart w:id="30" w:name="_Toc308101165"/>
      <w:bookmarkStart w:id="31" w:name="_Toc342632756"/>
      <w:bookmarkStart w:id="32" w:name="_Toc307584827"/>
      <w:bookmarkStart w:id="33" w:name="_Toc308101853"/>
      <w:bookmarkStart w:id="34" w:name="_Toc308098959"/>
      <w:bookmarkStart w:id="35" w:name="_Toc308102149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地块选择原则</w:t>
      </w:r>
      <w:bookmarkEnd w:id="22"/>
      <w:bookmarkEnd w:id="23"/>
      <w:bookmarkEnd w:id="24"/>
    </w:p>
    <w:p w14:paraId="2222C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地块面积要求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亩以上连片，现造林保存率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大于或等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。项目实施地块要求土地权属清楚、无争议，项目实施主体明确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36" w:name="_Toc9566634"/>
      <w:bookmarkStart w:id="37" w:name="_Toc161161449"/>
    </w:p>
    <w:p w14:paraId="5DCB6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8" w:name="_Toc20134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改造类型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确定</w:t>
      </w:r>
      <w:bookmarkEnd w:id="36"/>
      <w:bookmarkEnd w:id="37"/>
      <w:bookmarkEnd w:id="38"/>
    </w:p>
    <w:p w14:paraId="420C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梁河县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油茶基地生产情况，确定四种改造类型，分别为：正常基地、过密基地、混交林改造、茶地套种。</w:t>
      </w:r>
      <w:bookmarkStart w:id="39" w:name="_Toc161161450"/>
      <w:bookmarkStart w:id="40" w:name="_Toc9566635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各种类型统计如下：</w:t>
      </w:r>
    </w:p>
    <w:p w14:paraId="47059289">
      <w:pPr>
        <w:pStyle w:val="2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2022年油茶提质增效类型统计表</w:t>
      </w:r>
    </w:p>
    <w:tbl>
      <w:tblPr>
        <w:tblStyle w:val="11"/>
        <w:tblW w:w="7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0"/>
        <w:gridCol w:w="2505"/>
        <w:gridCol w:w="3381"/>
      </w:tblGrid>
      <w:tr w14:paraId="2E34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提质增效类型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提质增效面积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8C0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正常基地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2372.2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E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正常提质增效措施</w:t>
            </w:r>
          </w:p>
        </w:tc>
      </w:tr>
      <w:tr w14:paraId="5F91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过密基地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677.5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正常措施增加疏除过密油茶树</w:t>
            </w:r>
          </w:p>
        </w:tc>
      </w:tr>
      <w:tr w14:paraId="0853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混交林改造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1012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6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正常措施增加伐除杂木</w:t>
            </w:r>
          </w:p>
        </w:tc>
      </w:tr>
      <w:tr w14:paraId="6F08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茶地套种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938.3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7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增加单株施肥量</w:t>
            </w:r>
          </w:p>
        </w:tc>
      </w:tr>
      <w:tr w14:paraId="25E5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5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048B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BFA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1" w:name="_Toc4002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3.3树种特性</w:t>
      </w:r>
      <w:bookmarkEnd w:id="39"/>
      <w:bookmarkEnd w:id="40"/>
      <w:bookmarkEnd w:id="41"/>
    </w:p>
    <w:p w14:paraId="3ABA2FB1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油茶是山茶科茶属植物，属亚热带常绿小乔木，种子可榨油供食用。茶油色清味香、营养丰富、耐贮藏，是优质食用油;也可作为润滑油、防锈油用于工业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是一种适应性强、寿命长、油质好、适宜山地种植、不与农作物争土地的木本油料树种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垂直分布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1000-2000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米，分布区年均气温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17.5-19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，大于或等于10℃的有效积温4500-6500℃，年降雨量为1000-1500毫米。对土壤要求不严，耐旱耐瘠薄，在PH4.5—6.5的红壤、砖红壤性红壤以及黄壤、黄红壤上均可生长，但油茶为深根树种，主根特别发达，故对土层厚度要求较严，一般需50厘米厚度以上，土层较薄、贫瘠则易引起植株早衰。播种后3—5年开花结实，10年后进入盛果期便大量结果，盛产期可达60—70年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产业是我县的传统产业，在产业发展过程中，选择具有一定规模的优质本地资源，加大培植力度，以满足市场需求。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bookmarkEnd w:id="7"/>
      <w:bookmarkStart w:id="42" w:name="_Toc308101435"/>
      <w:bookmarkStart w:id="43" w:name="_Toc307156798"/>
      <w:bookmarkStart w:id="44" w:name="_Toc308101859"/>
      <w:bookmarkStart w:id="45" w:name="_Toc307156411"/>
      <w:bookmarkStart w:id="46" w:name="_Toc403027866"/>
      <w:bookmarkStart w:id="47" w:name="_Toc308099417"/>
      <w:bookmarkStart w:id="48" w:name="_Toc308101171"/>
      <w:bookmarkStart w:id="49" w:name="_Toc308102155"/>
      <w:bookmarkStart w:id="50" w:name="_Toc342632761"/>
      <w:bookmarkStart w:id="51" w:name="_Toc307584835"/>
      <w:bookmarkStart w:id="52" w:name="_Toc308100612"/>
      <w:bookmarkStart w:id="53" w:name="_Toc308098965"/>
    </w:p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58C1D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4" w:name="_Toc403027880"/>
      <w:bookmarkStart w:id="55" w:name="_Toc27063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  组织实施</w:t>
      </w:r>
      <w:bookmarkEnd w:id="54"/>
      <w:bookmarkEnd w:id="55"/>
    </w:p>
    <w:p w14:paraId="182EB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6" w:name="_Toc32077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4.1实施方式</w:t>
      </w:r>
      <w:bookmarkEnd w:id="56"/>
    </w:p>
    <w:p w14:paraId="2547566D">
      <w:pPr>
        <w:ind w:firstLine="200"/>
        <w:jc w:val="left"/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 xml:space="preserve">   结合梁河实际，本项目全部采用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林农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自主实施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，由林农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严格按照油茶提质增效的技术措施自主开展提质建设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项目管理部门负责作业设计、技术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培训、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指导、检查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验收等工作。在实项目的实施过程中，县林业和草原局专业技术人员，为全县油茶提质增效实施提供技术服务。</w:t>
      </w:r>
    </w:p>
    <w:p w14:paraId="06787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339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7" w:name="_Toc12863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4.2项目布局及进度安排</w:t>
      </w:r>
      <w:bookmarkEnd w:id="57"/>
    </w:p>
    <w:p w14:paraId="22429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项目布局全县7个乡镇,其中：大厂乡260亩；河西乡198亩；九保乡135.8亩；芒东镇534.7亩；曩宋乡540.3亩；平山乡3146.7亩；遮岛镇184.5亩，全县共计5000亩油茶提质增效。</w:t>
      </w:r>
    </w:p>
    <w:p w14:paraId="1E62527E">
      <w:pPr>
        <w:ind w:firstLine="480" w:firstLineChars="150"/>
        <w:jc w:val="left"/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政策宣传时间：20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22年7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 w14:paraId="4357FE03">
      <w:pPr>
        <w:ind w:firstLine="480" w:firstLineChars="150"/>
        <w:jc w:val="left"/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实施时间：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2022年11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-12月</w:t>
      </w:r>
    </w:p>
    <w:p w14:paraId="54EE9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8" w:name="_Toc1208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4.3实施措施</w:t>
      </w:r>
      <w:bookmarkEnd w:id="58"/>
    </w:p>
    <w:p w14:paraId="17A6FB3D">
      <w:pPr>
        <w:ind w:firstLine="660"/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为统一技术标准，结合梁河县实际，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2022年度油茶提质增效方式要求开展林地清理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开沟施肥、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整形修剪、病虫害防治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四项提质增效措施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基地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成效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97B86CE">
      <w:pPr>
        <w:jc w:val="left"/>
        <w:rPr>
          <w:rFonts w:hint="eastAsia" w:ascii="仿宋" w:hAnsi="仿宋" w:eastAsia="仿宋" w:cs="仿宋"/>
          <w:b/>
          <w:bCs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林地清理</w:t>
      </w:r>
    </w:p>
    <w:p w14:paraId="6554951D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林地清理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是传统的抚育管理方式，通过清除杂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灌和其它林木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充足的光照和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良好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生长条件。</w:t>
      </w:r>
    </w:p>
    <w:p w14:paraId="2C69B055"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 开沟施肥</w:t>
      </w:r>
    </w:p>
    <w:p w14:paraId="3692C300">
      <w:pPr>
        <w:pStyle w:val="2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在油茶树上延距油茶根0.5-1米处开挖施肥沟，深度20cm以上，长度1m以上；将0.5Kg复合肥（N:P:K比例为15：15：15）+0.5Kg普钙肥伴均后施入沟内，并用沟内细土拌均，回填土。每亩施复合肥50千克、普钙肥50千克。</w:t>
      </w:r>
    </w:p>
    <w:p w14:paraId="34FEAE24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4.3.3整形修剪</w:t>
      </w:r>
    </w:p>
    <w:p w14:paraId="7CC7F191">
      <w:pPr>
        <w:ind w:firstLine="624" w:firstLineChars="195"/>
        <w:jc w:val="left"/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整形修剪时期</w:t>
      </w:r>
    </w:p>
    <w:p w14:paraId="34BAF802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旬——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下旬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即采收茶果后到春梢萌动前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此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时树体进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休眠状态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所需养分和水分减少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树液流动缓慢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修剪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口容易愈合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60CC9E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整形修剪步骤</w:t>
      </w:r>
    </w:p>
    <w:p w14:paraId="38A42974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修剪时一般先下后中上部、先冠内后冠外。</w:t>
      </w:r>
    </w:p>
    <w:p w14:paraId="3F33A597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整形修剪技术</w:t>
      </w:r>
    </w:p>
    <w:p w14:paraId="6B8ED3B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油茶整形修剪是油茶植株定型成林的基础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目的是为了修枝整形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改善林内通风透光条件，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培育良好的树形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迅速扩大树冠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为油茶高产打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基础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整形修剪必须要从定植当年的定干开始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逐年修剪可培养出最好的树形。主要的树形自然圆头形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11"/>
          <w:sz w:val="32"/>
          <w:szCs w:val="32"/>
          <w14:textFill>
            <w14:solidFill>
              <w14:schemeClr w14:val="tx1"/>
            </w14:solidFill>
          </w14:textFill>
        </w:rPr>
        <w:t>自然开心形和疏散分层形。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密度大于80株/亩的油茶地，直接疏除油茶树，将密度控制在60-80株/亩。剪除寄生草、交叉枝、病虫枝、拖地枝、过密枝，形成合理的结果树林结构。整形修剪时要注意，株与株枝条基本不相交，确保光能照到树杆，使其通风透光。</w:t>
      </w:r>
    </w:p>
    <w:p w14:paraId="700E2D78"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4.3.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病虫害防治</w:t>
      </w:r>
    </w:p>
    <w:p w14:paraId="61F4E5ED">
      <w:pPr>
        <w:ind w:firstLine="627" w:firstLineChars="196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据调查，我国危害油茶的病虫害很多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虫害有10目300多种，病害有50多种，以及少量的寄生植物如桑寄生、槲寄生等。其中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在油茶成林上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油茶炭疽病和软腐病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油茶幼苗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油茶根腐病等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危害很大，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使油茶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生产造成巨大损失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61ADA61">
      <w:pPr>
        <w:ind w:firstLine="627" w:firstLineChars="196"/>
        <w:jc w:val="left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梁河县油茶主要的病害有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炭疽病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烟煤病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软腐病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根腐病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毒蛾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象甲幼虫蚧壳虫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油茶炭疽病、煤污病、软腐病在降雨多、湿润季节发生严重,象甲虫多栖息于密林。因此,应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加强管护措施，营造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有利于油茶生长发育的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良好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环境,以减少病源、虫源。在抓好土壤管理和改造林相、树体的同时,还要改善林地卫生环境。对于炭疽病发生严重且历年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发病株以及遭受织叶蛾（蛀茎虫）危害的枝条,要予以砍除并集中烧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毁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。油茶尺蠖以蛹、象甲虫以幼虫形态在土表越冬,冬季须深挖。施肥要注意用量及搭配,过多施氮肥易使油茶染病,适量搭配磷、钾肥可提高树体抗性。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生物措施和药物防治相结合的方式进行综合防治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保护和培育黑缘瓢虫、大红瓢虫等天敌,能抑制介壳虫的繁衍。可利用寄生蜂、寄生蝇、菌类、鸟类、鸡等防治油茶尺蠖。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全园喷洒波尔多液（生石灰：硫酸铜：水比例为1:1:200）或用代森锌、咪鲜胺等杀菌济防治油茶炭疽病的药液喷1次。</w:t>
      </w:r>
    </w:p>
    <w:p w14:paraId="2C52D51C">
      <w:pPr>
        <w:pStyle w:val="15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窗体顶端</w:t>
      </w:r>
    </w:p>
    <w:p w14:paraId="7D7B0199">
      <w:pPr>
        <w:pStyle w:val="15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窗体顶端</w:t>
      </w:r>
    </w:p>
    <w:p w14:paraId="7AD26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9" w:name="_Toc1435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4.4保障措施</w:t>
      </w:r>
      <w:bookmarkEnd w:id="59"/>
    </w:p>
    <w:p w14:paraId="71EC8A09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0" w:name="_Toc403027881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保障该项目的顺利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，林业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和草原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领导亲自安排布置,并负责项目建设中重大问题的决策，协调处理有关事宜。项目实施过程中，抽调县乡林业专业技术人员深入山头地块规划、技术指导，为项目的实施提供了组织保障，确保项目按时按质按量实施完成。</w:t>
      </w:r>
    </w:p>
    <w:p w14:paraId="75AF33C3">
      <w:pPr>
        <w:pStyle w:val="16"/>
        <w:spacing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4.4.1资金保障措施</w:t>
      </w:r>
    </w:p>
    <w:p w14:paraId="01F6476A">
      <w:pPr>
        <w:pStyle w:val="16"/>
        <w:spacing w:line="240" w:lineRule="auto"/>
        <w:ind w:left="0" w:leftChars="0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项目资金严格按照梁河县整合资金管理执行，待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县级组织验收合格后以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的标准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到农户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外业人员按60元/天补助伙食费。</w:t>
      </w:r>
    </w:p>
    <w:p w14:paraId="6F47F473">
      <w:pPr>
        <w:pStyle w:val="16"/>
        <w:spacing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4.4.2技术保障措施</w:t>
      </w:r>
    </w:p>
    <w:p w14:paraId="5B579FEA">
      <w:pPr>
        <w:pStyle w:val="16"/>
        <w:spacing w:line="240" w:lineRule="auto"/>
        <w:ind w:left="0" w:leftChars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，认真执行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中的各项技术措施，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切实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抓好每一个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环节，定期对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油茶提质增效开展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情况进行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检查，确保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建设质量，保证项目建设成效。</w:t>
      </w:r>
    </w:p>
    <w:p w14:paraId="75318EE6">
      <w:pPr>
        <w:pStyle w:val="16"/>
        <w:spacing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4.4.3组织保障措施</w:t>
      </w:r>
    </w:p>
    <w:p w14:paraId="30A6DC32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一是建立健全各项检查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机制，确保项目按时按质实施。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二是加强项目资金管理，严格按财政专项资金管理的各项规定执行，专款专用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三是建立健全档案管理。</w:t>
      </w:r>
      <w:bookmarkEnd w:id="60"/>
      <w:bookmarkStart w:id="61" w:name="_Toc403027885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安排专人负责项目档案的收集、整理、归类、保管等工作。按照项目建设档案管理的规定，保管好项目建设全过程的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各种文件资料。</w:t>
      </w:r>
    </w:p>
    <w:p w14:paraId="02C63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2" w:name="_Toc25020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  投资概算及资金筹措</w:t>
      </w:r>
      <w:bookmarkEnd w:id="61"/>
      <w:bookmarkEnd w:id="62"/>
      <w:bookmarkStart w:id="63" w:name="_Toc403027886"/>
    </w:p>
    <w:p w14:paraId="0DDD7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4" w:name="_Toc3539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5.1项目概算主要技术经济指标</w:t>
      </w:r>
      <w:bookmarkEnd w:id="63"/>
      <w:bookmarkEnd w:id="64"/>
    </w:p>
    <w:p w14:paraId="3D270F84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国家专项投资单位指标:省级投资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元/亩。</w:t>
      </w:r>
    </w:p>
    <w:p w14:paraId="0CC7CB11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100元/工日</w:t>
      </w:r>
      <w:bookmarkStart w:id="65" w:name="_Toc403027887"/>
    </w:p>
    <w:p w14:paraId="458E6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6" w:name="_Toc29079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5.2单位面积投资概算</w:t>
      </w:r>
      <w:bookmarkEnd w:id="65"/>
      <w:bookmarkEnd w:id="66"/>
    </w:p>
    <w:p w14:paraId="426A033E">
      <w:pPr>
        <w:ind w:firstLine="480" w:firstLineChars="15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投资预算到乡镇。详见下表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BBD52D8">
      <w:pPr>
        <w:ind w:firstLine="420" w:firstLineChars="150"/>
        <w:jc w:val="center"/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表5-1  投资汇总表</w:t>
      </w:r>
    </w:p>
    <w:tbl>
      <w:tblPr>
        <w:tblStyle w:val="11"/>
        <w:tblW w:w="70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2"/>
        <w:gridCol w:w="1072"/>
        <w:gridCol w:w="1677"/>
        <w:gridCol w:w="1075"/>
        <w:gridCol w:w="1663"/>
        <w:gridCol w:w="542"/>
      </w:tblGrid>
      <w:tr w14:paraId="0D06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5B2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1072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0AD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</w:tc>
        <w:tc>
          <w:tcPr>
            <w:tcW w:w="4415" w:type="dxa"/>
            <w:gridSpan w:val="3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89F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投资构成（万元）</w:t>
            </w:r>
          </w:p>
        </w:tc>
        <w:tc>
          <w:tcPr>
            <w:tcW w:w="54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1A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742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6A2166D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 w14:paraId="274F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（亩）</w:t>
            </w:r>
          </w:p>
        </w:tc>
        <w:tc>
          <w:tcPr>
            <w:tcW w:w="1677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 w14:paraId="77DC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75" w:type="dxa"/>
            <w:tcBorders>
              <w:right w:val="single" w:color="000000" w:sz="12" w:space="0"/>
            </w:tcBorders>
            <w:shd w:val="clear" w:color="auto" w:fill="auto"/>
            <w:vAlign w:val="center"/>
          </w:tcPr>
          <w:p w14:paraId="5136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财政资金</w:t>
            </w:r>
          </w:p>
        </w:tc>
        <w:tc>
          <w:tcPr>
            <w:tcW w:w="1663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486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自筹资金</w:t>
            </w:r>
          </w:p>
        </w:tc>
        <w:tc>
          <w:tcPr>
            <w:tcW w:w="542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334A61C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7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7219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AA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大厂乡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D31F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2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河西乡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11.88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503E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6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九保乡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135.8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8.148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5B6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6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芒东镇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534.7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32.082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32.082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99A7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3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曩宋乡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540.3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32.418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32.418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704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A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平山乡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3146.7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188.802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188.802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1D88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7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遮岛镇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184.5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11.07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62AC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BA33DD">
      <w:pPr>
        <w:pStyle w:val="2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因油茶基地类型不同，需要的工时存在差异，故农户以劳折资未纳入测算。</w:t>
      </w:r>
    </w:p>
    <w:p w14:paraId="61E2C3A8">
      <w:pP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2EC6BEF">
      <w:pPr>
        <w:pStyle w:val="2"/>
        <w:rPr>
          <w:rFonts w:hint="eastAsia"/>
          <w:lang w:val="en-US" w:eastAsia="zh-CN"/>
        </w:rPr>
      </w:pPr>
    </w:p>
    <w:p w14:paraId="31DA9B6D">
      <w:pPr>
        <w:ind w:firstLine="562" w:firstLineChars="200"/>
        <w:jc w:val="center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5-2    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油茶提质增效</w:t>
      </w:r>
      <w:r>
        <w:rPr>
          <w:rFonts w:hint="eastAsia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单位投资模型</w:t>
      </w:r>
    </w:p>
    <w:p w14:paraId="6B007791">
      <w:pPr>
        <w:ind w:firstLine="200"/>
        <w:jc w:val="left"/>
        <w:rPr>
          <w:rFonts w:hint="default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树种：</w:t>
      </w:r>
      <w:r>
        <w:rPr>
          <w:rFonts w:hint="eastAsia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单位：元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亩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</w:t>
      </w:r>
      <w:r>
        <w:rPr>
          <w:rFonts w:hint="eastAsia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工日</w:t>
      </w:r>
    </w:p>
    <w:tbl>
      <w:tblPr>
        <w:tblStyle w:val="11"/>
        <w:tblW w:w="91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195"/>
        <w:gridCol w:w="1100"/>
        <w:gridCol w:w="734"/>
        <w:gridCol w:w="783"/>
        <w:gridCol w:w="1367"/>
        <w:gridCol w:w="2298"/>
        <w:gridCol w:w="2"/>
      </w:tblGrid>
      <w:tr w14:paraId="6E44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2" w:hRule="atLeast"/>
        </w:trPr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9CCC">
            <w:pPr>
              <w:widowControl/>
              <w:ind w:firstLine="200"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405E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7CAC">
            <w:pPr>
              <w:widowControl/>
              <w:jc w:val="center"/>
              <w:rPr>
                <w:rFonts w:hint="eastAsia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CAD0">
            <w:pPr>
              <w:widowControl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F3F2">
            <w:pPr>
              <w:widowControl/>
              <w:ind w:firstLine="200"/>
              <w:jc w:val="center"/>
              <w:rPr>
                <w:rFonts w:hint="eastAsia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用工量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FE32">
            <w:pPr>
              <w:widowControl/>
              <w:ind w:firstLine="200"/>
              <w:jc w:val="center"/>
              <w:rPr>
                <w:rFonts w:hint="eastAsia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 w14:paraId="3458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05" w:hRule="atLeast"/>
        </w:trPr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9A54">
            <w:pPr>
              <w:widowControl/>
              <w:ind w:firstLine="200"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CBF1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CA3E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C31B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0D8C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67A5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5AB66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5A75">
            <w:pPr>
              <w:jc w:val="center"/>
              <w:rPr>
                <w:rFonts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B688">
            <w:pPr>
              <w:widowControl/>
              <w:ind w:firstLine="200"/>
              <w:jc w:val="center"/>
              <w:rPr>
                <w:rFonts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FF24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251D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BF08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29CF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F8C3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</w:tr>
      <w:tr w14:paraId="46B98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60E8">
            <w:pPr>
              <w:ind w:firstLine="200"/>
              <w:jc w:val="center"/>
              <w:rPr>
                <w:rFonts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1654">
            <w:pPr>
              <w:widowControl/>
              <w:jc w:val="left"/>
              <w:rPr>
                <w:rFonts w:hint="default" w:eastAsia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1、肥料及农药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B341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52F5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2287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641B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6C78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1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14A8">
            <w:pPr>
              <w:ind w:firstLine="200"/>
              <w:jc w:val="center"/>
              <w:rPr>
                <w:rFonts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2E7F">
            <w:pPr>
              <w:widowControl/>
              <w:jc w:val="left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（1）复合肥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AFCF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853C">
            <w:pPr>
              <w:widowControl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B0FF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52ED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52C9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1F62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624F">
            <w:pPr>
              <w:ind w:firstLine="200"/>
              <w:jc w:val="center"/>
              <w:rPr>
                <w:rFonts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C019">
            <w:pPr>
              <w:widowControl/>
              <w:jc w:val="left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（2）普钙肥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FB3B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508D">
            <w:pPr>
              <w:widowControl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千克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C0A5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82B9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FE41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FE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E674">
            <w:pPr>
              <w:ind w:firstLine="200"/>
              <w:jc w:val="center"/>
              <w:rPr>
                <w:rFonts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56BC">
            <w:pPr>
              <w:widowControl/>
              <w:jc w:val="left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3）</w:t>
            </w:r>
            <w:r>
              <w:rPr>
                <w:rFonts w:hint="eastAsia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4074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7F0E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79F4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C190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4CF9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 w14:paraId="6E4D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2492">
            <w:pPr>
              <w:widowControl/>
              <w:jc w:val="center"/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2A6A">
            <w:pPr>
              <w:widowControl/>
              <w:ind w:firstLine="200"/>
              <w:jc w:val="center"/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009C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F87F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8DA7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CB0D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DFEF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</w:tr>
      <w:tr w14:paraId="148CC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266B">
            <w:pPr>
              <w:widowControl/>
              <w:ind w:firstLine="200"/>
              <w:jc w:val="center"/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B9E2">
            <w:pPr>
              <w:widowControl/>
              <w:jc w:val="left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整形修剪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8D3B">
            <w:pPr>
              <w:widowControl/>
              <w:ind w:firstLine="200" w:firstLineChars="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63D3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14F7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60C6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8919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EA02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4282">
            <w:pPr>
              <w:widowControl/>
              <w:ind w:firstLine="200"/>
              <w:jc w:val="center"/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386B">
            <w:pPr>
              <w:widowControl/>
              <w:jc w:val="left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、除草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FE07">
            <w:pPr>
              <w:widowControl/>
              <w:ind w:firstLine="200" w:firstLineChars="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72EE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F656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BECB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D3F3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15C5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6AA7">
            <w:pPr>
              <w:widowControl/>
              <w:ind w:firstLine="200"/>
              <w:jc w:val="center"/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6B56">
            <w:pPr>
              <w:widowControl/>
              <w:jc w:val="left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、病虫害防治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82A5">
            <w:pPr>
              <w:widowControl/>
              <w:ind w:firstLine="200" w:firstLineChars="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E247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2204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9A12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E85B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3994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2A296A">
            <w:pPr>
              <w:widowControl/>
              <w:jc w:val="center"/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间接</w:t>
            </w:r>
          </w:p>
          <w:p w14:paraId="57543EE7">
            <w:pPr>
              <w:widowControl/>
              <w:jc w:val="center"/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E1D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8378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5412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EA7D">
            <w:pPr>
              <w:widowControl/>
              <w:ind w:firstLine="200"/>
              <w:jc w:val="center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BF2A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58FC">
            <w:pPr>
              <w:widowControl/>
              <w:ind w:firstLine="200" w:firstLineChars="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E5C5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B50AA">
            <w:pPr>
              <w:widowControl/>
              <w:ind w:firstLine="200"/>
              <w:jc w:val="left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053">
            <w:pPr>
              <w:widowControl/>
              <w:jc w:val="left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外业规划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B3D2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CE72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19E4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AD93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D81F">
            <w:pPr>
              <w:widowControl/>
              <w:ind w:firstLine="200" w:firstLineChars="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A0F7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34E43">
            <w:pPr>
              <w:widowControl/>
              <w:ind w:firstLine="200"/>
              <w:jc w:val="left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1B90">
            <w:pPr>
              <w:widowControl/>
              <w:jc w:val="left"/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技术指导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DB0F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90F9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A2A2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01B0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0897">
            <w:pPr>
              <w:widowControl/>
              <w:ind w:firstLine="200" w:firstLineChars="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 w14:paraId="6A53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60D633">
            <w:pPr>
              <w:widowControl/>
              <w:ind w:firstLine="200"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E0EF"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检查验收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A1C8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DFDD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CD1E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9507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762B">
            <w:pPr>
              <w:widowControl/>
              <w:ind w:firstLine="200" w:firstLineChars="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 w14:paraId="727B4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135E">
            <w:pPr>
              <w:widowControl/>
              <w:ind w:firstLine="200"/>
              <w:jc w:val="left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78A6">
            <w:pPr>
              <w:widowControl/>
              <w:jc w:val="left"/>
              <w:rPr>
                <w:rFonts w:hint="default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4、培训费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9DA8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2154">
            <w:pPr>
              <w:widowControl/>
              <w:ind w:firstLine="200"/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5037">
            <w:pPr>
              <w:widowControl/>
              <w:ind w:firstLine="200"/>
              <w:jc w:val="center"/>
              <w:rPr>
                <w:rFonts w:hint="default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45CB">
            <w:pPr>
              <w:widowControl/>
              <w:ind w:firstLine="200"/>
              <w:jc w:val="center"/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1AFE">
            <w:pPr>
              <w:widowControl/>
              <w:ind w:firstLine="200" w:firstLineChars="0"/>
              <w:jc w:val="center"/>
              <w:rPr>
                <w:rFonts w:hint="default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 w14:paraId="2373D9E0">
      <w:pPr>
        <w:ind w:firstLine="200"/>
        <w:jc w:val="left"/>
        <w:rPr>
          <w:rFonts w:hint="eastAsia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7B0B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7" w:name="_Toc403027888"/>
      <w:bookmarkStart w:id="68" w:name="_Toc9182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5.3项目投资概算</w:t>
      </w:r>
      <w:bookmarkEnd w:id="67"/>
      <w:bookmarkEnd w:id="68"/>
    </w:p>
    <w:p w14:paraId="36559561"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9" w:name="_Toc9566655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5.3.1投资预算</w:t>
      </w:r>
      <w:bookmarkEnd w:id="69"/>
    </w:p>
    <w:p w14:paraId="787F40E7">
      <w:pPr>
        <w:ind w:firstLine="627" w:firstLineChars="196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0" w:name="_Toc9566656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根据本项目规划地块及树种，设计了实施树种单位投资模型。投资模型分别由材料费（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肥料、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农药）、劳务费（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整形修剪、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除草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病虫害防治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等的工时费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）、间接费（外业规划、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技术培训、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技术指导、检查验收等费用）三个部分组成，各部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分投资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预算是根据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项目实施规模内容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及各经济技术指标进行预算的。</w:t>
      </w:r>
    </w:p>
    <w:p w14:paraId="6ABEDE9A"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5.3.2材料费</w:t>
      </w:r>
      <w:bookmarkEnd w:id="70"/>
    </w:p>
    <w:p w14:paraId="41091E21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油茶提质增效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单位投资模型和造林类型面积统计表，材料费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占总投资的57.33%。其中：肥料投资150万元，占项目总投资的50%，农药投资22万元，占项目总投资的7.33%。</w:t>
      </w:r>
    </w:p>
    <w:p w14:paraId="709CC922"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1" w:name="_Toc9566657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5.3.3劳务费</w:t>
      </w:r>
      <w:bookmarkEnd w:id="71"/>
    </w:p>
    <w:p w14:paraId="74BF4BC3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劳务费包括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整形修剪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、除草、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病虫害防治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，总用工量为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1.25万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个工日，每个工日按100元计，需劳务费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占项目总投资的41.67%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。其中：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整形修剪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万个工作日，需要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万元；除草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万个工日，需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万元；打药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万个工日，需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6B19939B"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2" w:name="_Toc9566658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5.3.4间接费</w:t>
      </w:r>
      <w:bookmarkEnd w:id="72"/>
    </w:p>
    <w:p w14:paraId="2CF0FE17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包括外业规划、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技术培训、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技术指导、检查验收等费用，共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占项目总投资的1%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E960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3" w:name="_Toc403027889"/>
      <w:bookmarkStart w:id="74" w:name="_Toc29504"/>
      <w:bookmarkStart w:id="75" w:name="_Toc9566659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5.4建设总投资</w:t>
      </w:r>
      <w:bookmarkEnd w:id="73"/>
      <w:bookmarkEnd w:id="74"/>
      <w:bookmarkEnd w:id="75"/>
    </w:p>
    <w:p w14:paraId="76168502"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6" w:name="_Toc956666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5.4.1资金筹措</w:t>
      </w:r>
    </w:p>
    <w:bookmarkEnd w:id="76"/>
    <w:p w14:paraId="1AEF259E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总投资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全部为省级投资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，其中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万元，占总投资的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57.33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%；劳务费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万元，占总投资的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41.67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%，间接费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万元，占总投资的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7615B32E">
      <w:pPr>
        <w:tabs>
          <w:tab w:val="left" w:pos="720"/>
        </w:tabs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5.4.2资金管理与使用</w:t>
      </w:r>
    </w:p>
    <w:p w14:paraId="4A9C4B8D">
      <w:pPr>
        <w:tabs>
          <w:tab w:val="left" w:pos="720"/>
        </w:tabs>
        <w:ind w:firstLine="537" w:firstLineChars="168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严格资金管理，确保专款专用，确保项目资金安全、规范、有效使用，项目补助资金严格实行报账制管理和专项核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控制使用资金。</w:t>
      </w:r>
      <w:bookmarkStart w:id="77" w:name="_Toc403027890"/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项目实施单位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完成后，由县级统一组织验收，验收合格的按照594元/亩标准，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采取银行系统兑付补助资金，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外业工作经费及培训费3元/亩，按照外业出差管理及培训费管理规定列支。</w:t>
      </w:r>
    </w:p>
    <w:p w14:paraId="4664765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198" w:firstLineChars="0"/>
        <w:jc w:val="left"/>
        <w:textAlignment w:val="auto"/>
        <w:outlineLvl w:val="0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8" w:name="_Toc5542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  效益估算</w:t>
      </w:r>
      <w:bookmarkEnd w:id="77"/>
      <w:bookmarkEnd w:id="78"/>
    </w:p>
    <w:p w14:paraId="4EDA1814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效益评价从生态、经济和社会三大效益的角度来进行评价。生态效益是指保土、蓄水、保肥等方面的价值；经济效益主要是项目建成后产生的经济效益；社会效益是指项目建设对当地及周边地域所起到的积极推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动产业发展作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用。</w:t>
      </w:r>
      <w:bookmarkStart w:id="79" w:name="_Toc9566662"/>
    </w:p>
    <w:p w14:paraId="6AD20F4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198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0" w:name="_Toc29507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6.1 生态效益</w:t>
      </w:r>
      <w:bookmarkEnd w:id="79"/>
      <w:bookmarkEnd w:id="80"/>
    </w:p>
    <w:p w14:paraId="7334DE73">
      <w:pPr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林建设为人类生存提供良好的生态环境和大量的林副产品，它是一个自然和经济的综合体，起着防风固沙、保持水土、涵养水源、净化空气、美化环境等重要作用。生态效益是一种潜在的能力，它必须通过其它的媒介来反映，我们计算的生态效益更不是现实的价值，而是一种潜在的、人类生存发展所必须的价值。通过该项目的实施，可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基地提前成林，在保持水土，涵养水源，抵御自然灾害等方面有着重要意义。</w:t>
      </w:r>
    </w:p>
    <w:p w14:paraId="5C8E2A0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198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1" w:name="_Toc26798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6.2 经济效益</w:t>
      </w:r>
      <w:bookmarkEnd w:id="81"/>
    </w:p>
    <w:p w14:paraId="61A36C5F">
      <w:pPr>
        <w:ind w:firstLine="800" w:firstLineChars="25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通过该项目的实施，可提高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产业的科技贡献率、土地产出率、资源利用率，提质是手段，增效才是目，全面提升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产业化水平，促进林农增收，缓解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挂果时间慢带来的经济压力。</w:t>
      </w:r>
    </w:p>
    <w:p w14:paraId="727E2E9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198" w:firstLineChars="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2" w:name="_Toc1943"/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6.3社会效益</w:t>
      </w:r>
      <w:bookmarkEnd w:id="82"/>
    </w:p>
    <w:p w14:paraId="43EB1171">
      <w:pPr>
        <w:ind w:firstLine="800" w:firstLineChars="25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一是提高造林主体的经济收入，实现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林农增收致富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二是投入大量的劳动力，为农村剩余劳动力创造了就业机会，扩大了农民就业门路和增收空间，促进农村剩余劳动力的有效转移和农民增收。三是通过接受培训，提高林农科技管理水平，提高林农素质，加快绿色产业的建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，促进社会、经济和生态协调持续发展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四是示范带动作用，通过项目的实施，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可有效带动周边群众投身木本油料产业的积极性，推动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产业的发展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C5B2D0C">
      <w:pPr>
        <w:pStyle w:val="7"/>
        <w:spacing w:after="0"/>
        <w:ind w:left="0" w:leftChars="0" w:firstLine="800" w:firstLineChars="25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总之，本项目的实施必将推动梁河县林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资源的合理开发利用，有利于调整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产业结构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夯实油茶产业基础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增加农民收入，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全县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油茶产业持续健康发展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具有重大的意义。为进一步落实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“绿水青山就是金山银山”的发展理念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有力有效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措施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保障。</w:t>
      </w:r>
    </w:p>
    <w:p w14:paraId="17639CEC">
      <w:pPr>
        <w:pStyle w:val="7"/>
        <w:spacing w:after="0"/>
        <w:ind w:left="0" w:leftChars="0" w:firstLine="800" w:firstLineChars="25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89DAD2E">
      <w:pPr>
        <w:pStyle w:val="7"/>
        <w:spacing w:after="0"/>
        <w:ind w:left="0" w:leftChars="0" w:firstLine="200"/>
        <w:jc w:val="left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附表:</w:t>
      </w:r>
    </w:p>
    <w:p w14:paraId="6BC51CDD">
      <w:pPr>
        <w:pStyle w:val="7"/>
        <w:spacing w:after="0"/>
        <w:ind w:left="0" w:leftChars="0" w:firstLine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梁河县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质增效小班因子表</w:t>
      </w:r>
    </w:p>
    <w:p w14:paraId="5776403E">
      <w:pPr>
        <w:pStyle w:val="7"/>
        <w:spacing w:after="0"/>
        <w:ind w:left="0" w:leftChars="0" w:firstLine="200"/>
        <w:jc w:val="left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附图：</w:t>
      </w:r>
    </w:p>
    <w:p w14:paraId="013ED984">
      <w:pPr>
        <w:pStyle w:val="7"/>
        <w:spacing w:after="0"/>
        <w:ind w:left="0" w:leftChars="0" w:firstLine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梁河县2022年度油茶提质增效项目位置图</w:t>
      </w:r>
    </w:p>
    <w:p w14:paraId="6A57A212">
      <w:pPr>
        <w:pStyle w:val="7"/>
        <w:numPr>
          <w:ilvl w:val="0"/>
          <w:numId w:val="0"/>
        </w:numPr>
        <w:spacing w:after="0"/>
        <w:ind w:left="200" w:leftChars="0"/>
        <w:jc w:val="left"/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347C1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66" w:bottom="1440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60568">
    <w:pPr>
      <w:pStyle w:val="5"/>
      <w:jc w:val="center"/>
    </w:pPr>
    <w:r>
      <w:rPr>
        <w:rFonts w:hint="eastAsia"/>
      </w:rPr>
      <w:t>1</w:t>
    </w:r>
  </w:p>
  <w:p w14:paraId="2E4D779A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E264B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6BB87D3C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DQwM2U2OTk4MTc5Y2I0ZThkN2QzMGJmMmYzZDAifQ=="/>
  </w:docVars>
  <w:rsids>
    <w:rsidRoot w:val="698E2055"/>
    <w:rsid w:val="017146EB"/>
    <w:rsid w:val="0208261E"/>
    <w:rsid w:val="04303514"/>
    <w:rsid w:val="054748EC"/>
    <w:rsid w:val="05F7578C"/>
    <w:rsid w:val="0632113C"/>
    <w:rsid w:val="07F71236"/>
    <w:rsid w:val="09A71CDF"/>
    <w:rsid w:val="0BF34F04"/>
    <w:rsid w:val="0C431BEA"/>
    <w:rsid w:val="0C4A12E1"/>
    <w:rsid w:val="0D5B4AB6"/>
    <w:rsid w:val="0DE346CA"/>
    <w:rsid w:val="0DFA5CB6"/>
    <w:rsid w:val="1047538F"/>
    <w:rsid w:val="10CA6E66"/>
    <w:rsid w:val="12265BDF"/>
    <w:rsid w:val="1268380B"/>
    <w:rsid w:val="144F241D"/>
    <w:rsid w:val="155F3FAA"/>
    <w:rsid w:val="167119FD"/>
    <w:rsid w:val="16C5468E"/>
    <w:rsid w:val="18804EE9"/>
    <w:rsid w:val="19201F2E"/>
    <w:rsid w:val="1C336E42"/>
    <w:rsid w:val="1D0249A1"/>
    <w:rsid w:val="1D0E0293"/>
    <w:rsid w:val="1E6071B3"/>
    <w:rsid w:val="21384E96"/>
    <w:rsid w:val="21AD279F"/>
    <w:rsid w:val="22B60E9E"/>
    <w:rsid w:val="238777B9"/>
    <w:rsid w:val="23DA453E"/>
    <w:rsid w:val="24271250"/>
    <w:rsid w:val="246C544A"/>
    <w:rsid w:val="253C34FC"/>
    <w:rsid w:val="25972B26"/>
    <w:rsid w:val="269B7A1C"/>
    <w:rsid w:val="27C4700F"/>
    <w:rsid w:val="283B48D7"/>
    <w:rsid w:val="2C1E02B5"/>
    <w:rsid w:val="2DC0749D"/>
    <w:rsid w:val="318A1161"/>
    <w:rsid w:val="33362901"/>
    <w:rsid w:val="33D1504D"/>
    <w:rsid w:val="38C23433"/>
    <w:rsid w:val="39FC627B"/>
    <w:rsid w:val="3CF2029A"/>
    <w:rsid w:val="3E931270"/>
    <w:rsid w:val="3EF629B1"/>
    <w:rsid w:val="3F2D1F9A"/>
    <w:rsid w:val="40705565"/>
    <w:rsid w:val="410827E3"/>
    <w:rsid w:val="41805C68"/>
    <w:rsid w:val="41B70298"/>
    <w:rsid w:val="42BE723D"/>
    <w:rsid w:val="43C02ACE"/>
    <w:rsid w:val="459B71BA"/>
    <w:rsid w:val="468263D3"/>
    <w:rsid w:val="47013BFE"/>
    <w:rsid w:val="49E1192F"/>
    <w:rsid w:val="4A355040"/>
    <w:rsid w:val="4AEE24DB"/>
    <w:rsid w:val="4AFF42BE"/>
    <w:rsid w:val="500B60D1"/>
    <w:rsid w:val="51103DDC"/>
    <w:rsid w:val="512C1BD2"/>
    <w:rsid w:val="52242152"/>
    <w:rsid w:val="5C45640F"/>
    <w:rsid w:val="5DD80184"/>
    <w:rsid w:val="5EC83AFF"/>
    <w:rsid w:val="5F143A09"/>
    <w:rsid w:val="5FC23F69"/>
    <w:rsid w:val="60EB3C1C"/>
    <w:rsid w:val="61B63D1A"/>
    <w:rsid w:val="655B7AB1"/>
    <w:rsid w:val="698E2055"/>
    <w:rsid w:val="6ACF27F2"/>
    <w:rsid w:val="6CE26167"/>
    <w:rsid w:val="6FBF2CFF"/>
    <w:rsid w:val="735C49A6"/>
    <w:rsid w:val="759D41B0"/>
    <w:rsid w:val="7BC04F6E"/>
    <w:rsid w:val="7BDD0715"/>
    <w:rsid w:val="7CCC6E19"/>
    <w:rsid w:val="7E6E514C"/>
    <w:rsid w:val="7F48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8">
    <w:name w:val="toc 2"/>
    <w:basedOn w:val="1"/>
    <w:next w:val="1"/>
    <w:qFormat/>
    <w:uiPriority w:val="0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postbody1"/>
    <w:basedOn w:val="12"/>
    <w:qFormat/>
    <w:uiPriority w:val="0"/>
    <w:rPr>
      <w:sz w:val="22"/>
      <w:szCs w:val="22"/>
    </w:rPr>
  </w:style>
  <w:style w:type="paragraph" w:customStyle="1" w:styleId="15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文章正文"/>
    <w:basedOn w:val="1"/>
    <w:qFormat/>
    <w:uiPriority w:val="0"/>
    <w:pPr>
      <w:spacing w:line="360" w:lineRule="auto"/>
      <w:ind w:left="420" w:leftChars="200" w:firstLine="560" w:firstLineChars="200"/>
    </w:pPr>
    <w:rPr>
      <w:rFonts w:ascii="宋体" w:hAnsi="宋体" w:eastAsia="宋体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19</Pages>
  <Words>7016</Words>
  <Characters>7829</Characters>
  <Lines>0</Lines>
  <Paragraphs>0</Paragraphs>
  <TotalTime>2</TotalTime>
  <ScaleCrop>false</ScaleCrop>
  <LinksUpToDate>false</LinksUpToDate>
  <CharactersWithSpaces>7992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2022-10-24T01:21:00Z</dcterms:created>
  <dc:creator>lx</dc:creator>
  <cp:lastModifiedBy>赵静</cp:lastModifiedBy>
  <dcterms:modified xsi:type="dcterms:W3CDTF">2025-12-29T07:47:16Z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0EF980AB038F4132BDE43C61E47B14D1_12</vt:lpwstr>
  </property>
</Properties>
</file>