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144"/>
          <w:szCs w:val="1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144"/>
          <w:szCs w:val="144"/>
        </w:rPr>
        <w:t>民政工作简报</w: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jc w:val="center"/>
        <w:rPr>
          <w:rFonts w:hint="eastAsia"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color w:val="FF0000"/>
          <w:sz w:val="44"/>
          <w:szCs w:val="44"/>
        </w:rPr>
        <w:t>第</w:t>
      </w:r>
      <w:r>
        <w:rPr>
          <w:rFonts w:hint="eastAsia" w:ascii="宋体" w:hAnsi="宋体"/>
          <w:color w:val="auto"/>
          <w:sz w:val="44"/>
          <w:szCs w:val="44"/>
          <w:lang w:eastAsia="zh-CN"/>
        </w:rPr>
        <w:t>二十</w:t>
      </w:r>
      <w:r>
        <w:rPr>
          <w:rFonts w:hint="eastAsia" w:ascii="宋体" w:hAnsi="宋体"/>
          <w:color w:val="FF0000"/>
          <w:sz w:val="44"/>
          <w:szCs w:val="44"/>
        </w:rPr>
        <w:t>期</w:t>
      </w:r>
    </w:p>
    <w:tbl>
      <w:tblPr>
        <w:tblStyle w:val="5"/>
        <w:tblW w:w="8831" w:type="dxa"/>
        <w:tblInd w:w="108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 xml:space="preserve">梁河县民政局                          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2018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23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18"/>
          <w:szCs w:val="18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志愿服务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进社区 义务劳动展风采</w:t>
      </w:r>
      <w:bookmarkStart w:id="0" w:name="_GoBack"/>
      <w:bookmarkEnd w:id="0"/>
    </w:p>
    <w:p>
      <w:pPr>
        <w:ind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按照“机关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+社区共建”的要求，认真落实“党建工作联做、社会管理联抓、社区资源联享、服务难题联解、公益事业联办、环境卫生联治的工作机制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，5月23日上午，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梁河县民政局积极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到团结社区开展社区环境卫生清扫志愿服务活动。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541010" cy="2764790"/>
            <wp:effectExtent l="0" t="0" r="2540" b="16510"/>
            <wp:docPr id="6" name="图片 3" descr="H:\DCIM\100CANON\IMG_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H:\DCIM\100CANON\IMG_3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活动中，我局党员干部发扬不怕脏、不怕累的精神，顾不得漫天飞舞的尘土，顶着烈日，对垃圾、小广告进行清除，对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写了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的墙面进行了粉刷，不放过任何一个卫生死角，大家干的热火朝天，以劳动为荣，乐在其中。共清理小广告80余处，粉刷墙面50余平方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，清理垃圾0.2吨。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559425" cy="2697480"/>
            <wp:effectExtent l="0" t="0" r="3175" b="7620"/>
            <wp:docPr id="8" name="图片 4" descr="H:\DCIM\100CANON\IMG_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H:\DCIM\100CANON\IMG_3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经过大家一个上午的辛勤努力，团结社区的环境面貌焕然一新，小巷居民和路人纷纷称赞。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636260" cy="2679700"/>
            <wp:effectExtent l="0" t="0" r="2540" b="6350"/>
            <wp:docPr id="9" name="图片 7" descr="C:\Users\Administrator\AppData\Local\Temp\WeChat Files\142886030267697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:\Users\Administrator\AppData\Local\Temp\WeChat Files\142886030267697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此次清扫活动，不仅增强了我局党员干部的凝聚力，培养了党员吃苦耐劳的精神，而且进一步拉进了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社区的联系，同时也为我县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争创省级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文明城市、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提升人民群众精神生活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贡献一份力量。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  <w:lang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C236A"/>
    <w:rsid w:val="00010F1C"/>
    <w:rsid w:val="00320642"/>
    <w:rsid w:val="0050387C"/>
    <w:rsid w:val="007461F8"/>
    <w:rsid w:val="118F0258"/>
    <w:rsid w:val="512C236A"/>
    <w:rsid w:val="576B30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&#27665;&#25919;&#24037;&#20316;&#31616;&#25253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民政工作简报1.dot</Template>
  <Company>德宏州梁河县党政机关单位</Company>
  <Pages>1</Pages>
  <Words>17</Words>
  <Characters>17</Characters>
  <Lines>1</Lines>
  <Paragraphs>1</Paragraphs>
  <ScaleCrop>false</ScaleCrop>
  <LinksUpToDate>false</LinksUpToDate>
  <CharactersWithSpaces>52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2018-05-23T07:57:00Z</dcterms:created>
  <dc:creator>lenovo</dc:creator>
  <cp:lastModifiedBy>lenovo</cp:lastModifiedBy>
  <cp:lastPrinted>2018-05-23T08:03:25Z</cp:lastPrinted>
  <dcterms:modified xsi:type="dcterms:W3CDTF">2018-05-23T08:05:31Z</dcterms:modified>
  <dc:title>民政工作简报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