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80" w:lineRule="auto"/>
        <w:jc w:val="center"/>
        <w:rPr>
          <w:rFonts w:ascii="Times New Roman" w:hAnsi="Times New Roman" w:eastAsia="方正姚体" w:cs="Times New Roman"/>
          <w:sz w:val="44"/>
          <w:szCs w:val="24"/>
        </w:rPr>
      </w:pPr>
      <w:bookmarkStart w:id="0" w:name="OLE_LINK1"/>
    </w:p>
    <w:p>
      <w:pPr>
        <w:spacing w:before="100" w:beforeAutospacing="1" w:after="100" w:afterAutospacing="1" w:line="480" w:lineRule="auto"/>
        <w:jc w:val="center"/>
        <w:rPr>
          <w:rFonts w:hint="eastAsia" w:ascii="方正姚体" w:eastAsia="方正姚体"/>
          <w:sz w:val="44"/>
          <w:szCs w:val="44"/>
        </w:rPr>
      </w:pPr>
      <w:r>
        <w:rPr>
          <w:rFonts w:hint="eastAsia" w:ascii="仿宋_GB2312" w:hAnsi="仿宋_GB2312" w:eastAsia="仿宋_GB2312" w:cs="仿宋_GB2312"/>
          <w:kern w:val="2"/>
          <w:sz w:val="44"/>
          <w:szCs w:val="44"/>
          <w:lang w:val="en-US" w:eastAsia="zh-CN" w:bidi="ar-SA"/>
        </w:rPr>
        <w:t>梁河县2020年第二批中央财政</w:t>
      </w:r>
      <w:r>
        <w:rPr>
          <w:rFonts w:hint="eastAsia" w:ascii="仿宋" w:hAnsi="仿宋" w:eastAsia="仿宋" w:cs="仿宋"/>
          <w:color w:val="auto"/>
          <w:kern w:val="2"/>
          <w:sz w:val="44"/>
          <w:szCs w:val="44"/>
          <w:lang w:val="en-US" w:eastAsia="zh-CN" w:bidi="ar-SA"/>
        </w:rPr>
        <w:t>专项扶贫</w:t>
      </w:r>
      <w:r>
        <w:rPr>
          <w:rFonts w:hint="eastAsia" w:ascii="仿宋_GB2312" w:hAnsi="仿宋_GB2312" w:eastAsia="仿宋_GB2312" w:cs="仿宋_GB2312"/>
          <w:kern w:val="2"/>
          <w:sz w:val="44"/>
          <w:szCs w:val="44"/>
          <w:lang w:val="en-US" w:eastAsia="zh-CN" w:bidi="ar-SA"/>
        </w:rPr>
        <w:t>资金</w:t>
      </w:r>
      <w:bookmarkStart w:id="30" w:name="_GoBack"/>
      <w:bookmarkEnd w:id="30"/>
      <w:r>
        <w:rPr>
          <w:rFonts w:hint="eastAsia" w:ascii="方正姚体" w:eastAsia="方正姚体"/>
          <w:sz w:val="44"/>
          <w:szCs w:val="44"/>
        </w:rPr>
        <w:t>小河头水库</w:t>
      </w:r>
    </w:p>
    <w:p>
      <w:pPr>
        <w:spacing w:before="100" w:beforeAutospacing="1" w:after="100" w:afterAutospacing="1" w:line="480" w:lineRule="auto"/>
        <w:jc w:val="center"/>
        <w:rPr>
          <w:rFonts w:hint="eastAsia" w:ascii="黑体" w:hAnsi="黑体" w:eastAsia="黑体" w:cs="黑体"/>
          <w:b/>
          <w:sz w:val="48"/>
          <w:szCs w:val="48"/>
        </w:rPr>
      </w:pPr>
      <w:r>
        <w:rPr>
          <w:rFonts w:hint="eastAsia" w:ascii="黑体" w:hAnsi="黑体" w:eastAsia="黑体" w:cs="黑体"/>
          <w:b/>
          <w:sz w:val="48"/>
          <w:szCs w:val="48"/>
          <w:lang w:eastAsia="zh-CN"/>
        </w:rPr>
        <w:t>维修养护</w:t>
      </w:r>
      <w:r>
        <w:rPr>
          <w:rFonts w:hint="eastAsia" w:ascii="黑体" w:hAnsi="黑体" w:eastAsia="黑体" w:cs="黑体"/>
          <w:color w:val="000000"/>
          <w:spacing w:val="20"/>
          <w:sz w:val="48"/>
          <w:szCs w:val="48"/>
        </w:rPr>
        <w:t>工程</w:t>
      </w:r>
      <w:r>
        <w:rPr>
          <w:rFonts w:hint="eastAsia" w:ascii="黑体" w:hAnsi="黑体" w:eastAsia="黑体" w:cs="黑体"/>
          <w:b/>
          <w:sz w:val="48"/>
          <w:szCs w:val="48"/>
        </w:rPr>
        <w:t>方案</w:t>
      </w:r>
    </w:p>
    <w:p>
      <w:pPr>
        <w:spacing w:before="100" w:beforeAutospacing="1" w:after="100" w:afterAutospacing="1" w:line="720" w:lineRule="auto"/>
        <w:jc w:val="center"/>
        <w:rPr>
          <w:rFonts w:ascii="Times New Roman" w:hAnsi="Times New Roman" w:eastAsia="方正姚体" w:cs="Times New Roman"/>
          <w:b/>
          <w:sz w:val="52"/>
          <w:szCs w:val="52"/>
        </w:rPr>
      </w:pPr>
    </w:p>
    <w:bookmarkEnd w:id="0"/>
    <w:p>
      <w:pPr>
        <w:jc w:val="center"/>
        <w:rPr>
          <w:rFonts w:ascii="Times New Roman" w:hAnsi="Times New Roman" w:eastAsia="方正姚体" w:cs="Times New Roman"/>
          <w:sz w:val="44"/>
          <w:szCs w:val="24"/>
        </w:rPr>
      </w:pPr>
    </w:p>
    <w:p>
      <w:pPr>
        <w:jc w:val="center"/>
        <w:rPr>
          <w:rFonts w:ascii="Times New Roman" w:hAnsi="Times New Roman" w:eastAsia="方正姚体" w:cs="Times New Roman"/>
          <w:sz w:val="52"/>
          <w:szCs w:val="24"/>
        </w:rPr>
      </w:pPr>
    </w:p>
    <w:p>
      <w:pPr>
        <w:jc w:val="center"/>
        <w:rPr>
          <w:rFonts w:ascii="Times New Roman" w:hAnsi="Times New Roman" w:eastAsia="方正姚体" w:cs="Times New Roman"/>
          <w:sz w:val="52"/>
          <w:szCs w:val="24"/>
        </w:rPr>
      </w:pPr>
    </w:p>
    <w:p>
      <w:pPr>
        <w:jc w:val="center"/>
        <w:rPr>
          <w:rFonts w:ascii="Times New Roman" w:hAnsi="Times New Roman" w:eastAsia="方正姚体" w:cs="Times New Roman"/>
          <w:sz w:val="52"/>
          <w:szCs w:val="24"/>
        </w:rPr>
      </w:pPr>
    </w:p>
    <w:p>
      <w:pPr>
        <w:jc w:val="center"/>
        <w:rPr>
          <w:rFonts w:ascii="Times New Roman" w:hAnsi="Times New Roman" w:eastAsia="方正姚体" w:cs="Times New Roman"/>
          <w:sz w:val="52"/>
          <w:szCs w:val="24"/>
        </w:rPr>
      </w:pPr>
    </w:p>
    <w:p>
      <w:pPr>
        <w:rPr>
          <w:rFonts w:ascii="Times New Roman" w:hAnsi="Times New Roman" w:eastAsia="方正姚体" w:cs="Times New Roman"/>
          <w:sz w:val="32"/>
          <w:szCs w:val="24"/>
        </w:rPr>
      </w:pPr>
      <w:r>
        <w:rPr>
          <w:rFonts w:hint="eastAsia" w:ascii="Times New Roman" w:hAnsi="Times New Roman" w:eastAsia="方正姚体" w:cs="Times New Roman"/>
          <w:sz w:val="32"/>
          <w:szCs w:val="24"/>
        </w:rPr>
        <w:t xml:space="preserve">          </w:t>
      </w:r>
    </w:p>
    <w:p>
      <w:pPr>
        <w:rPr>
          <w:rFonts w:ascii="Times New Roman" w:hAnsi="Times New Roman" w:eastAsia="方正姚体" w:cs="Times New Roman"/>
          <w:sz w:val="32"/>
          <w:szCs w:val="24"/>
        </w:rPr>
      </w:pPr>
    </w:p>
    <w:p>
      <w:pPr>
        <w:rPr>
          <w:rFonts w:ascii="Times New Roman" w:hAnsi="Times New Roman" w:eastAsia="方正姚体" w:cs="Times New Roman"/>
          <w:sz w:val="32"/>
          <w:szCs w:val="24"/>
        </w:rPr>
      </w:pPr>
    </w:p>
    <w:p>
      <w:pPr>
        <w:rPr>
          <w:rFonts w:ascii="Times New Roman" w:hAnsi="Times New Roman" w:eastAsia="方正姚体" w:cs="Times New Roman"/>
          <w:sz w:val="32"/>
          <w:szCs w:val="24"/>
        </w:rPr>
      </w:pPr>
    </w:p>
    <w:p>
      <w:pPr>
        <w:rPr>
          <w:rFonts w:ascii="Times New Roman" w:hAnsi="Times New Roman" w:eastAsia="方正姚体" w:cs="Times New Roman"/>
          <w:sz w:val="32"/>
          <w:szCs w:val="24"/>
        </w:rPr>
      </w:pPr>
    </w:p>
    <w:p>
      <w:pPr>
        <w:rPr>
          <w:rFonts w:ascii="Times New Roman" w:hAnsi="Times New Roman" w:eastAsia="方正姚体" w:cs="Times New Roman"/>
          <w:sz w:val="32"/>
          <w:szCs w:val="24"/>
        </w:rPr>
      </w:pPr>
    </w:p>
    <w:p>
      <w:pPr>
        <w:jc w:val="center"/>
        <w:rPr>
          <w:rFonts w:ascii="Times New Roman" w:hAnsi="Times New Roman" w:eastAsia="方正姚体" w:cs="Times New Roman"/>
          <w:sz w:val="32"/>
          <w:szCs w:val="24"/>
        </w:rPr>
      </w:pPr>
      <w:r>
        <w:rPr>
          <w:rFonts w:hint="eastAsia" w:ascii="Times New Roman" w:hAnsi="Times New Roman" w:eastAsia="方正姚体" w:cs="Times New Roman"/>
          <w:sz w:val="32"/>
          <w:szCs w:val="24"/>
        </w:rPr>
        <w:t>德宏州水利电力勘察设计院</w:t>
      </w:r>
    </w:p>
    <w:p>
      <w:pPr>
        <w:rPr>
          <w:rFonts w:ascii="方正姚体" w:hAnsi="Times New Roman" w:eastAsia="方正姚体" w:cs="Times New Roman"/>
          <w:sz w:val="32"/>
          <w:szCs w:val="24"/>
        </w:rPr>
      </w:pPr>
      <w:r>
        <w:rPr>
          <w:rFonts w:hint="eastAsia" w:ascii="Times New Roman" w:hAnsi="Times New Roman" w:eastAsia="方正姚体" w:cs="Times New Roman"/>
          <w:sz w:val="32"/>
          <w:szCs w:val="24"/>
        </w:rPr>
        <w:t xml:space="preserve">                     </w:t>
      </w:r>
      <w:r>
        <w:rPr>
          <w:rFonts w:hint="eastAsia" w:ascii="方正姚体" w:hAnsi="Times New Roman" w:eastAsia="方正姚体" w:cs="Times New Roman"/>
          <w:sz w:val="32"/>
          <w:szCs w:val="24"/>
        </w:rPr>
        <w:t xml:space="preserve"> 2020年3月</w:t>
      </w:r>
    </w:p>
    <w:p>
      <w:pPr>
        <w:rPr>
          <w:rFonts w:ascii="Times New Roman" w:hAnsi="Times New Roman" w:eastAsia="方正姚体" w:cs="Times New Roman"/>
          <w:sz w:val="32"/>
          <w:szCs w:val="24"/>
        </w:rPr>
      </w:pPr>
    </w:p>
    <w:p>
      <w:pPr>
        <w:ind w:firstLine="320" w:firstLineChars="100"/>
        <w:rPr>
          <w:rFonts w:ascii="Times New Roman" w:hAnsi="Times New Roman" w:eastAsia="方正姚体" w:cs="Times New Roman"/>
          <w:sz w:val="32"/>
          <w:szCs w:val="24"/>
        </w:rPr>
      </w:pPr>
      <w:r>
        <w:rPr>
          <w:rFonts w:ascii="Times New Roman" w:hAnsi="Times New Roman" w:eastAsia="方正姚体" w:cs="Times New Roman"/>
          <w:sz w:val="32"/>
          <w:szCs w:val="24"/>
        </w:rPr>
        <w:br w:type="page"/>
      </w:r>
    </w:p>
    <w:p>
      <w:pPr>
        <w:ind w:firstLine="280" w:firstLineChars="100"/>
        <w:rPr>
          <w:rFonts w:ascii="华文细黑" w:hAnsi="华文细黑" w:eastAsia="华文细黑" w:cs="Times New Roman"/>
          <w:b/>
          <w:sz w:val="28"/>
          <w:szCs w:val="28"/>
        </w:rPr>
      </w:pPr>
    </w:p>
    <w:p>
      <w:pPr>
        <w:ind w:firstLine="280" w:firstLineChars="100"/>
        <w:rPr>
          <w:rFonts w:ascii="华文细黑" w:hAnsi="华文细黑" w:eastAsia="华文细黑" w:cs="Times New Roman"/>
          <w:b/>
          <w:sz w:val="28"/>
          <w:szCs w:val="28"/>
        </w:rPr>
      </w:pPr>
    </w:p>
    <w:p>
      <w:pPr>
        <w:ind w:firstLine="280" w:firstLineChars="100"/>
        <w:rPr>
          <w:rFonts w:ascii="Times New Roman" w:hAnsi="Times New Roman" w:eastAsia="华文仿宋" w:cs="Times New Roman"/>
          <w:b/>
          <w:sz w:val="28"/>
          <w:szCs w:val="28"/>
        </w:rPr>
      </w:pPr>
      <w:r>
        <w:rPr>
          <w:rFonts w:hint="eastAsia" w:ascii="华文细黑" w:hAnsi="华文细黑" w:eastAsia="华文细黑" w:cs="Times New Roman"/>
          <w:b/>
          <w:sz w:val="28"/>
          <w:szCs w:val="28"/>
        </w:rPr>
        <w:t>批  准：</w:t>
      </w:r>
      <w:r>
        <w:rPr>
          <w:rFonts w:ascii="Times New Roman" w:hAnsi="Times New Roman" w:eastAsia="华文仿宋" w:cs="Times New Roman"/>
          <w:b/>
          <w:sz w:val="28"/>
          <w:szCs w:val="28"/>
        </w:rPr>
        <w:t xml:space="preserve"> 徐</w:t>
      </w:r>
      <w:r>
        <w:rPr>
          <w:rFonts w:hint="eastAsia" w:ascii="Times New Roman" w:hAnsi="Times New Roman" w:eastAsia="华文仿宋" w:cs="Times New Roman"/>
          <w:b/>
          <w:sz w:val="28"/>
          <w:szCs w:val="28"/>
        </w:rPr>
        <w:t xml:space="preserve">  </w:t>
      </w:r>
      <w:r>
        <w:rPr>
          <w:rFonts w:ascii="Times New Roman" w:hAnsi="Times New Roman" w:eastAsia="华文仿宋" w:cs="Times New Roman"/>
          <w:b/>
          <w:sz w:val="28"/>
          <w:szCs w:val="28"/>
        </w:rPr>
        <w:t>宏</w:t>
      </w:r>
    </w:p>
    <w:p>
      <w:pPr>
        <w:ind w:firstLine="280" w:firstLineChars="100"/>
        <w:rPr>
          <w:rFonts w:ascii="华文细黑" w:hAnsi="华文细黑" w:eastAsia="华文细黑" w:cs="Times New Roman"/>
          <w:b/>
          <w:sz w:val="28"/>
          <w:szCs w:val="28"/>
        </w:rPr>
      </w:pPr>
    </w:p>
    <w:p>
      <w:pPr>
        <w:ind w:firstLine="280" w:firstLineChars="100"/>
        <w:rPr>
          <w:rFonts w:ascii="Times New Roman" w:hAnsi="Times New Roman" w:eastAsia="华文仿宋" w:cs="Times New Roman"/>
          <w:b/>
          <w:sz w:val="28"/>
          <w:szCs w:val="28"/>
        </w:rPr>
      </w:pPr>
      <w:r>
        <w:rPr>
          <w:rFonts w:hint="eastAsia" w:ascii="华文细黑" w:hAnsi="华文细黑" w:eastAsia="华文细黑" w:cs="Times New Roman"/>
          <w:b/>
          <w:sz w:val="28"/>
          <w:szCs w:val="28"/>
        </w:rPr>
        <w:t>审  查：</w:t>
      </w:r>
      <w:r>
        <w:rPr>
          <w:rFonts w:ascii="Times New Roman" w:hAnsi="Times New Roman" w:eastAsia="华文仿宋" w:cs="Times New Roman"/>
          <w:b/>
          <w:sz w:val="28"/>
          <w:szCs w:val="28"/>
        </w:rPr>
        <w:t xml:space="preserve"> 段春文</w:t>
      </w:r>
    </w:p>
    <w:p>
      <w:pPr>
        <w:ind w:firstLine="280" w:firstLineChars="100"/>
        <w:rPr>
          <w:rFonts w:ascii="华文细黑" w:hAnsi="华文细黑" w:eastAsia="华文细黑" w:cs="Times New Roman"/>
          <w:b/>
          <w:sz w:val="28"/>
          <w:szCs w:val="28"/>
        </w:rPr>
      </w:pPr>
    </w:p>
    <w:p>
      <w:pPr>
        <w:ind w:firstLine="280" w:firstLineChars="100"/>
        <w:rPr>
          <w:rFonts w:ascii="Times New Roman" w:hAnsi="Times New Roman" w:eastAsia="华文仿宋" w:cs="Times New Roman"/>
          <w:b/>
          <w:sz w:val="28"/>
          <w:szCs w:val="28"/>
        </w:rPr>
      </w:pPr>
      <w:r>
        <w:rPr>
          <w:rFonts w:hint="eastAsia" w:ascii="华文细黑" w:hAnsi="华文细黑" w:eastAsia="华文细黑" w:cs="Times New Roman"/>
          <w:b/>
          <w:sz w:val="28"/>
          <w:szCs w:val="28"/>
        </w:rPr>
        <w:t xml:space="preserve">编  写： </w:t>
      </w:r>
      <w:r>
        <w:rPr>
          <w:rFonts w:hint="eastAsia" w:ascii="Times New Roman" w:hAnsi="Times New Roman" w:eastAsia="华文仿宋" w:cs="Times New Roman"/>
          <w:b/>
          <w:sz w:val="28"/>
          <w:szCs w:val="28"/>
        </w:rPr>
        <w:t>杨世伦</w:t>
      </w:r>
    </w:p>
    <w:p>
      <w:pPr>
        <w:rPr>
          <w:rFonts w:ascii="Times New Roman" w:hAnsi="Times New Roman" w:eastAsia="宋体" w:cs="Times New Roman"/>
          <w:szCs w:val="24"/>
        </w:rPr>
      </w:pPr>
      <w:r>
        <w:rPr>
          <w:rFonts w:ascii="Times New Roman" w:hAnsi="Times New Roman" w:eastAsia="宋体" w:cs="Times New Roman"/>
          <w:szCs w:val="24"/>
        </w:rPr>
        <w:br w:type="page"/>
      </w:r>
    </w:p>
    <w:p>
      <w:pPr>
        <w:ind w:firstLine="280" w:firstLineChars="100"/>
        <w:jc w:val="center"/>
        <w:rPr>
          <w:rFonts w:ascii="宋体" w:hAnsi="宋体" w:eastAsia="宋体" w:cs="Times New Roman"/>
          <w:sz w:val="28"/>
          <w:szCs w:val="28"/>
        </w:rPr>
      </w:pPr>
      <w:r>
        <w:rPr>
          <w:rFonts w:hint="eastAsia" w:ascii="宋体" w:hAnsi="宋体" w:eastAsia="宋体" w:cs="Times New Roman"/>
          <w:sz w:val="28"/>
          <w:szCs w:val="28"/>
        </w:rPr>
        <w:t>目   录</w:t>
      </w:r>
    </w:p>
    <w:p>
      <w:pPr>
        <w:pStyle w:val="23"/>
        <w:rPr>
          <w:rFonts w:asciiTheme="minorHAnsi" w:hAnsiTheme="minorHAnsi" w:cstheme="minorBidi"/>
          <w:b w:val="0"/>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"_Toc37243142" </w:instrText>
      </w:r>
      <w:r>
        <w:fldChar w:fldCharType="separate"/>
      </w:r>
      <w:r>
        <w:rPr>
          <w:rStyle w:val="27"/>
        </w:rPr>
        <w:t>1</w:t>
      </w:r>
      <w:r>
        <w:rPr>
          <w:rStyle w:val="27"/>
          <w:rFonts w:hint="eastAsia"/>
        </w:rPr>
        <w:t>、概述</w:t>
      </w:r>
      <w:r>
        <w:tab/>
      </w:r>
      <w:r>
        <w:fldChar w:fldCharType="begin"/>
      </w:r>
      <w:r>
        <w:instrText xml:space="preserve"> PAGEREF _Toc37243142 \h </w:instrText>
      </w:r>
      <w:r>
        <w:fldChar w:fldCharType="separate"/>
      </w:r>
      <w:r>
        <w:t>1</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"_Toc37243143" </w:instrText>
      </w:r>
      <w:r>
        <w:fldChar w:fldCharType="separate"/>
      </w:r>
      <w:r>
        <w:rPr>
          <w:rStyle w:val="27"/>
          <w:rFonts w:ascii="宋体" w:hAnsi="宋体"/>
          <w:b/>
        </w:rPr>
        <w:t xml:space="preserve">1.1 </w:t>
      </w:r>
      <w:r>
        <w:rPr>
          <w:rStyle w:val="27"/>
          <w:rFonts w:hint="eastAsia" w:ascii="宋体" w:hAnsi="宋体"/>
          <w:b/>
        </w:rPr>
        <w:t>工程概况</w:t>
      </w:r>
      <w:r>
        <w:tab/>
      </w:r>
      <w:r>
        <w:fldChar w:fldCharType="begin"/>
      </w:r>
      <w:r>
        <w:instrText xml:space="preserve"> PAGEREF _Toc37243143 \h </w:instrText>
      </w:r>
      <w:r>
        <w:fldChar w:fldCharType="separate"/>
      </w:r>
      <w:r>
        <w:t>1</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"_Toc37243144" </w:instrText>
      </w:r>
      <w:r>
        <w:fldChar w:fldCharType="separate"/>
      </w:r>
      <w:r>
        <w:rPr>
          <w:rStyle w:val="27"/>
          <w:rFonts w:asciiTheme="minorEastAsia" w:hAnsiTheme="minorEastAsia"/>
          <w:b/>
        </w:rPr>
        <w:t xml:space="preserve">1.2 </w:t>
      </w:r>
      <w:r>
        <w:rPr>
          <w:rStyle w:val="27"/>
          <w:rFonts w:hint="eastAsia" w:asciiTheme="minorEastAsia" w:hAnsiTheme="minorEastAsia"/>
          <w:b/>
        </w:rPr>
        <w:t>枢纽工程布置</w:t>
      </w:r>
      <w:r>
        <w:tab/>
      </w:r>
      <w:r>
        <w:fldChar w:fldCharType="begin"/>
      </w:r>
      <w:r>
        <w:instrText xml:space="preserve"> PAGEREF _Toc37243144 \h </w:instrText>
      </w:r>
      <w:r>
        <w:fldChar w:fldCharType="separate"/>
      </w:r>
      <w:r>
        <w:t>1</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"_Toc37243145" </w:instrText>
      </w:r>
      <w:r>
        <w:fldChar w:fldCharType="separate"/>
      </w:r>
      <w:r>
        <w:rPr>
          <w:rStyle w:val="27"/>
          <w:rFonts w:asciiTheme="minorEastAsia" w:hAnsiTheme="minorEastAsia"/>
          <w:b/>
        </w:rPr>
        <w:t xml:space="preserve">1.3 </w:t>
      </w:r>
      <w:r>
        <w:rPr>
          <w:rStyle w:val="27"/>
          <w:rFonts w:hint="eastAsia" w:asciiTheme="minorEastAsia" w:hAnsiTheme="minorEastAsia"/>
          <w:b/>
        </w:rPr>
        <w:t>设计简要历程</w:t>
      </w:r>
      <w:r>
        <w:tab/>
      </w:r>
      <w:r>
        <w:fldChar w:fldCharType="begin"/>
      </w:r>
      <w:r>
        <w:instrText xml:space="preserve"> PAGEREF _Toc37243145 \h </w:instrText>
      </w:r>
      <w:r>
        <w:fldChar w:fldCharType="separate"/>
      </w:r>
      <w:r>
        <w:t>3</w:t>
      </w:r>
      <w:r>
        <w:fldChar w:fldCharType="end"/>
      </w:r>
      <w:r>
        <w:fldChar w:fldCharType="end"/>
      </w:r>
    </w:p>
    <w:p>
      <w:pPr>
        <w:pStyle w:val="23"/>
        <w:rPr>
          <w:rFonts w:asciiTheme="minorHAnsi" w:hAnsiTheme="minorHAnsi" w:cstheme="minorBidi"/>
          <w:b w:val="0"/>
          <w:sz w:val="21"/>
          <w:szCs w:val="22"/>
        </w:rPr>
      </w:pPr>
      <w:r>
        <w:fldChar w:fldCharType="begin"/>
      </w:r>
      <w:r>
        <w:instrText xml:space="preserve"> HYPERLINK \l "_Toc37243146" </w:instrText>
      </w:r>
      <w:r>
        <w:fldChar w:fldCharType="separate"/>
      </w:r>
      <w:r>
        <w:rPr>
          <w:rStyle w:val="27"/>
        </w:rPr>
        <w:t>2</w:t>
      </w:r>
      <w:r>
        <w:rPr>
          <w:rStyle w:val="27"/>
          <w:rFonts w:hint="eastAsia"/>
        </w:rPr>
        <w:t>、加固原因</w:t>
      </w:r>
      <w:r>
        <w:tab/>
      </w:r>
      <w:r>
        <w:fldChar w:fldCharType="begin"/>
      </w:r>
      <w:r>
        <w:instrText xml:space="preserve"> PAGEREF _Toc37243146 \h </w:instrText>
      </w:r>
      <w:r>
        <w:fldChar w:fldCharType="separate"/>
      </w:r>
      <w:r>
        <w:t>4</w:t>
      </w:r>
      <w:r>
        <w:fldChar w:fldCharType="end"/>
      </w:r>
      <w:r>
        <w:fldChar w:fldCharType="end"/>
      </w:r>
    </w:p>
    <w:p>
      <w:pPr>
        <w:pStyle w:val="23"/>
        <w:rPr>
          <w:rFonts w:asciiTheme="minorHAnsi" w:hAnsiTheme="minorHAnsi" w:cstheme="minorBidi"/>
          <w:b w:val="0"/>
          <w:sz w:val="21"/>
          <w:szCs w:val="22"/>
        </w:rPr>
      </w:pPr>
      <w:r>
        <w:fldChar w:fldCharType="begin"/>
      </w:r>
      <w:r>
        <w:instrText xml:space="preserve"> HYPERLINK \l "_Toc37243147" </w:instrText>
      </w:r>
      <w:r>
        <w:fldChar w:fldCharType="separate"/>
      </w:r>
      <w:r>
        <w:rPr>
          <w:rStyle w:val="27"/>
        </w:rPr>
        <w:t>3</w:t>
      </w:r>
      <w:r>
        <w:rPr>
          <w:rStyle w:val="27"/>
          <w:rFonts w:hint="eastAsia"/>
        </w:rPr>
        <w:t>、维护加固设计</w:t>
      </w:r>
      <w:r>
        <w:tab/>
      </w:r>
      <w:r>
        <w:fldChar w:fldCharType="begin"/>
      </w:r>
      <w:r>
        <w:instrText xml:space="preserve"> PAGEREF _Toc37243147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"_Toc37243148" </w:instrText>
      </w:r>
      <w:r>
        <w:fldChar w:fldCharType="separate"/>
      </w:r>
      <w:r>
        <w:rPr>
          <w:rStyle w:val="27"/>
          <w:rFonts w:asciiTheme="minorEastAsia" w:hAnsiTheme="minorEastAsia"/>
          <w:b/>
        </w:rPr>
        <w:t>3.1</w:t>
      </w:r>
      <w:r>
        <w:rPr>
          <w:rStyle w:val="27"/>
          <w:rFonts w:hint="eastAsia" w:asciiTheme="minorEastAsia" w:hAnsiTheme="minorEastAsia"/>
          <w:b/>
        </w:rPr>
        <w:t>隧洞启闭机房</w:t>
      </w:r>
      <w:r>
        <w:tab/>
      </w:r>
      <w:r>
        <w:fldChar w:fldCharType="begin"/>
      </w:r>
      <w:r>
        <w:instrText xml:space="preserve"> PAGEREF _Toc37243148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"_Toc37243149" </w:instrText>
      </w:r>
      <w:r>
        <w:fldChar w:fldCharType="separate"/>
      </w:r>
      <w:r>
        <w:rPr>
          <w:rStyle w:val="27"/>
          <w:rFonts w:asciiTheme="minorEastAsia" w:hAnsiTheme="minorEastAsia"/>
          <w:b/>
        </w:rPr>
        <w:t xml:space="preserve">3.2 </w:t>
      </w:r>
      <w:r>
        <w:rPr>
          <w:rStyle w:val="27"/>
          <w:rFonts w:hint="eastAsia" w:asciiTheme="minorEastAsia" w:hAnsiTheme="minorEastAsia"/>
          <w:b/>
        </w:rPr>
        <w:t>大坝两坝肩防渗方案</w:t>
      </w:r>
      <w:r>
        <w:tab/>
      </w:r>
      <w:r>
        <w:fldChar w:fldCharType="begin"/>
      </w:r>
      <w:r>
        <w:instrText xml:space="preserve"> PAGEREF _Toc37243149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"_Toc37243150" </w:instrText>
      </w:r>
      <w:r>
        <w:fldChar w:fldCharType="separate"/>
      </w:r>
      <w:r>
        <w:rPr>
          <w:rStyle w:val="27"/>
          <w:rFonts w:asciiTheme="minorEastAsia" w:hAnsiTheme="minorEastAsia"/>
          <w:b/>
        </w:rPr>
        <w:t>3.2.1</w:t>
      </w:r>
      <w:r>
        <w:rPr>
          <w:rStyle w:val="27"/>
          <w:rFonts w:hint="eastAsia" w:asciiTheme="minorEastAsia" w:hAnsiTheme="minorEastAsia"/>
          <w:b/>
        </w:rPr>
        <w:t>地质条件</w:t>
      </w:r>
      <w:r>
        <w:tab/>
      </w:r>
      <w:r>
        <w:fldChar w:fldCharType="begin"/>
      </w:r>
      <w:r>
        <w:instrText xml:space="preserve"> PAGEREF _Toc37243150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"_Toc37243151" </w:instrText>
      </w:r>
      <w:r>
        <w:fldChar w:fldCharType="separate"/>
      </w:r>
      <w:r>
        <w:rPr>
          <w:rStyle w:val="27"/>
          <w:rFonts w:asciiTheme="minorEastAsia" w:hAnsiTheme="minorEastAsia"/>
          <w:b/>
        </w:rPr>
        <w:t>3.2.2</w:t>
      </w:r>
      <w:r>
        <w:rPr>
          <w:rStyle w:val="27"/>
          <w:rFonts w:hint="eastAsia" w:asciiTheme="minorEastAsia" w:hAnsiTheme="minorEastAsia"/>
          <w:b/>
        </w:rPr>
        <w:t>防渗设计</w:t>
      </w:r>
      <w:r>
        <w:tab/>
      </w:r>
      <w:r>
        <w:fldChar w:fldCharType="begin"/>
      </w:r>
      <w:r>
        <w:instrText xml:space="preserve"> PAGEREF _Toc37243151 \h </w:instrText>
      </w:r>
      <w:r>
        <w:fldChar w:fldCharType="separate"/>
      </w:r>
      <w:r>
        <w:t>6</w:t>
      </w:r>
      <w:r>
        <w:fldChar w:fldCharType="end"/>
      </w:r>
      <w:r>
        <w:fldChar w:fldCharType="end"/>
      </w:r>
    </w:p>
    <w:p>
      <w:pPr>
        <w:pStyle w:val="23"/>
        <w:rPr>
          <w:rFonts w:asciiTheme="minorHAnsi" w:hAnsiTheme="minorHAnsi" w:cstheme="minorBidi"/>
          <w:b w:val="0"/>
          <w:sz w:val="21"/>
          <w:szCs w:val="22"/>
        </w:rPr>
      </w:pPr>
      <w:r>
        <w:fldChar w:fldCharType="begin"/>
      </w:r>
      <w:r>
        <w:instrText xml:space="preserve"> HYPERLINK \l "_Toc37243152" </w:instrText>
      </w:r>
      <w:r>
        <w:fldChar w:fldCharType="separate"/>
      </w:r>
      <w:r>
        <w:rPr>
          <w:rStyle w:val="27"/>
        </w:rPr>
        <w:t>4</w:t>
      </w:r>
      <w:r>
        <w:rPr>
          <w:rStyle w:val="27"/>
          <w:rFonts w:hint="eastAsia"/>
        </w:rPr>
        <w:t>、投资概算</w:t>
      </w:r>
      <w:r>
        <w:tab/>
      </w:r>
      <w:r>
        <w:fldChar w:fldCharType="begin"/>
      </w:r>
      <w:r>
        <w:instrText xml:space="preserve"> PAGEREF _Toc37243152 \h </w:instrText>
      </w:r>
      <w:r>
        <w:fldChar w:fldCharType="separate"/>
      </w:r>
      <w:r>
        <w:t>8</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"_Toc37243153" </w:instrText>
      </w:r>
      <w:r>
        <w:fldChar w:fldCharType="separate"/>
      </w:r>
      <w:r>
        <w:rPr>
          <w:rStyle w:val="27"/>
          <w:rFonts w:asciiTheme="minorEastAsia" w:hAnsiTheme="minorEastAsia"/>
          <w:b/>
        </w:rPr>
        <w:t>4.1</w:t>
      </w:r>
      <w:r>
        <w:rPr>
          <w:rStyle w:val="27"/>
          <w:rFonts w:hint="eastAsia" w:asciiTheme="minorEastAsia" w:hAnsiTheme="minorEastAsia"/>
          <w:b/>
        </w:rPr>
        <w:t>投资主要指标</w:t>
      </w:r>
      <w:r>
        <w:tab/>
      </w:r>
      <w:r>
        <w:fldChar w:fldCharType="begin"/>
      </w:r>
      <w:r>
        <w:instrText xml:space="preserve"> PAGEREF _Toc37243153 \h </w:instrText>
      </w:r>
      <w:r>
        <w:fldChar w:fldCharType="separate"/>
      </w:r>
      <w:r>
        <w:t>8</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"_Toc37243154" </w:instrText>
      </w:r>
      <w:r>
        <w:fldChar w:fldCharType="separate"/>
      </w:r>
      <w:r>
        <w:rPr>
          <w:rStyle w:val="27"/>
          <w:rFonts w:asciiTheme="minorEastAsia" w:hAnsiTheme="minorEastAsia"/>
          <w:b/>
        </w:rPr>
        <w:t>4.2</w:t>
      </w:r>
      <w:r>
        <w:rPr>
          <w:rStyle w:val="27"/>
          <w:rFonts w:hint="eastAsia" w:asciiTheme="minorEastAsia" w:hAnsiTheme="minorEastAsia"/>
          <w:b/>
        </w:rPr>
        <w:t>工程投资</w:t>
      </w:r>
      <w:r>
        <w:tab/>
      </w:r>
      <w:r>
        <w:fldChar w:fldCharType="begin"/>
      </w:r>
      <w:r>
        <w:instrText xml:space="preserve"> PAGEREF _Toc37243154 \h </w:instrText>
      </w:r>
      <w:r>
        <w:fldChar w:fldCharType="separate"/>
      </w:r>
      <w:r>
        <w:t>8</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"_Toc37243155" </w:instrText>
      </w:r>
      <w:r>
        <w:fldChar w:fldCharType="separate"/>
      </w:r>
      <w:r>
        <w:rPr>
          <w:rStyle w:val="27"/>
        </w:rPr>
        <w:t>1.1 13.4.1</w:t>
      </w:r>
      <w:r>
        <w:rPr>
          <w:rStyle w:val="27"/>
          <w:rFonts w:hint="eastAsia"/>
        </w:rPr>
        <w:t>编制依据</w:t>
      </w:r>
      <w:r>
        <w:tab/>
      </w:r>
      <w:r>
        <w:fldChar w:fldCharType="begin"/>
      </w:r>
      <w:r>
        <w:instrText xml:space="preserve"> PAGEREF _Toc37243155 \h </w:instrText>
      </w:r>
      <w:r>
        <w:fldChar w:fldCharType="separate"/>
      </w:r>
      <w:r>
        <w:t>8</w:t>
      </w:r>
      <w:r>
        <w:fldChar w:fldCharType="end"/>
      </w:r>
      <w:r>
        <w:fldChar w:fldCharType="end"/>
      </w:r>
    </w:p>
    <w:p>
      <w:pPr>
        <w:spacing w:line="360" w:lineRule="auto"/>
        <w:rPr>
          <w:rFonts w:cs="Times New Roman" w:asciiTheme="minorEastAsia" w:hAnsiTheme="minorEastAsia"/>
          <w:sz w:val="28"/>
          <w:szCs w:val="28"/>
        </w:rPr>
      </w:pPr>
      <w:r>
        <w:rPr>
          <w:rFonts w:cs="Times New Roman" w:asciiTheme="minorEastAsia" w:hAnsiTheme="minorEastAsia"/>
          <w:sz w:val="28"/>
          <w:szCs w:val="28"/>
        </w:rPr>
        <w:fldChar w:fldCharType="end"/>
      </w:r>
    </w:p>
    <w:p>
      <w:pPr>
        <w:spacing w:line="360" w:lineRule="auto"/>
        <w:rPr>
          <w:rFonts w:ascii="宋体" w:hAnsi="宋体" w:eastAsia="宋体" w:cs="Times New Roman"/>
          <w:sz w:val="28"/>
          <w:szCs w:val="28"/>
        </w:rPr>
      </w:pPr>
      <w:r>
        <w:rPr>
          <w:rFonts w:hint="eastAsia" w:ascii="宋体" w:hAnsi="宋体" w:eastAsia="宋体" w:cs="Times New Roman"/>
          <w:sz w:val="28"/>
          <w:szCs w:val="28"/>
        </w:rPr>
        <w:t>附图</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附件1：</w:t>
      </w:r>
      <w:r>
        <w:rPr>
          <w:rFonts w:hint="eastAsia" w:cs="Times New Roman" w:asciiTheme="minorEastAsia" w:hAnsiTheme="minorEastAsia"/>
          <w:sz w:val="28"/>
          <w:szCs w:val="28"/>
        </w:rPr>
        <w:t>《</w:t>
      </w:r>
      <w:r>
        <w:rPr>
          <w:rFonts w:hint="eastAsia" w:asciiTheme="minorEastAsia" w:hAnsiTheme="minorEastAsia"/>
          <w:sz w:val="28"/>
          <w:szCs w:val="28"/>
        </w:rPr>
        <w:t>梁河县小河头水库工程管理所关于设计粘土料场储量不足要求新增粘土料场的函</w:t>
      </w:r>
      <w:r>
        <w:rPr>
          <w:rFonts w:hint="eastAsia" w:cs="Times New Roman" w:asciiTheme="minorEastAsia" w:hAnsiTheme="minorEastAsia"/>
          <w:sz w:val="28"/>
          <w:szCs w:val="28"/>
        </w:rPr>
        <w:t>》</w:t>
      </w:r>
      <w:r>
        <w:rPr>
          <w:rFonts w:hint="eastAsia" w:asciiTheme="minorEastAsia" w:hAnsiTheme="minorEastAsia"/>
          <w:sz w:val="28"/>
          <w:szCs w:val="28"/>
        </w:rPr>
        <w:t>梁小工管函[2016]2号</w:t>
      </w:r>
      <w:r>
        <w:rPr>
          <w:rFonts w:hint="eastAsia" w:cs="Times New Roman" w:asciiTheme="minorEastAsia" w:hAnsiTheme="minorEastAsia"/>
          <w:sz w:val="28"/>
          <w:szCs w:val="28"/>
        </w:rPr>
        <w:t>文</w:t>
      </w:r>
    </w:p>
    <w:p>
      <w:pPr>
        <w:spacing w:line="360" w:lineRule="auto"/>
        <w:ind w:firstLine="560" w:firstLineChars="200"/>
        <w:rPr>
          <w:rFonts w:ascii="宋体" w:hAnsi="宋体" w:eastAsia="宋体" w:cs="Times New Roman"/>
          <w:sz w:val="28"/>
          <w:szCs w:val="28"/>
        </w:rPr>
        <w:sectPr>
          <w:footerReference r:id="rId3" w:type="even"/>
          <w:pgSz w:w="11906" w:h="16838"/>
          <w:pgMar w:top="1440" w:right="1800" w:bottom="1440" w:left="1800" w:header="851" w:footer="992" w:gutter="0"/>
          <w:pgNumType w:start="1"/>
          <w:cols w:space="425" w:num="1"/>
          <w:docGrid w:type="lines" w:linePitch="312" w:charSpace="0"/>
        </w:sectPr>
      </w:pPr>
    </w:p>
    <w:p>
      <w:pPr>
        <w:pStyle w:val="2"/>
        <w:numPr>
          <w:ilvl w:val="0"/>
          <w:numId w:val="0"/>
        </w:numPr>
        <w:spacing w:before="124" w:after="62"/>
        <w:jc w:val="center"/>
        <w:rPr>
          <w:rFonts w:eastAsia="宋体"/>
          <w:sz w:val="36"/>
          <w:szCs w:val="36"/>
        </w:rPr>
      </w:pPr>
      <w:bookmarkStart w:id="1" w:name="_Toc37243142"/>
      <w:bookmarkStart w:id="2" w:name="_Toc370684489"/>
      <w:r>
        <w:rPr>
          <w:rFonts w:hint="eastAsia"/>
          <w:sz w:val="36"/>
          <w:szCs w:val="36"/>
        </w:rPr>
        <w:t>1、</w:t>
      </w:r>
      <w:r>
        <w:rPr>
          <w:sz w:val="36"/>
          <w:szCs w:val="36"/>
        </w:rPr>
        <w:t>概述</w:t>
      </w:r>
      <w:bookmarkEnd w:id="1"/>
    </w:p>
    <w:bookmarkEnd w:id="2"/>
    <w:p>
      <w:pPr>
        <w:spacing w:line="360" w:lineRule="auto"/>
        <w:outlineLvl w:val="1"/>
        <w:rPr>
          <w:rFonts w:ascii="宋体" w:hAnsi="宋体" w:eastAsia="宋体"/>
          <w:b/>
          <w:sz w:val="28"/>
          <w:szCs w:val="28"/>
        </w:rPr>
      </w:pPr>
      <w:bookmarkStart w:id="3" w:name="_Toc406933989"/>
      <w:bookmarkStart w:id="4" w:name="_Toc37243143"/>
      <w:bookmarkStart w:id="5" w:name="_Toc235458716"/>
      <w:bookmarkStart w:id="6" w:name="_Toc331727357"/>
      <w:bookmarkStart w:id="7" w:name="_Toc235438849"/>
      <w:bookmarkStart w:id="8" w:name="_Toc235496187"/>
      <w:bookmarkStart w:id="9" w:name="_Toc235496537"/>
      <w:bookmarkStart w:id="10" w:name="_Toc235497062"/>
      <w:bookmarkStart w:id="11" w:name="_Toc262192895"/>
      <w:bookmarkStart w:id="12" w:name="_Toc306133798"/>
      <w:bookmarkStart w:id="13" w:name="_Toc227508368"/>
      <w:r>
        <w:rPr>
          <w:rFonts w:ascii="宋体" w:hAnsi="宋体" w:eastAsia="宋体"/>
          <w:b/>
          <w:sz w:val="28"/>
          <w:szCs w:val="28"/>
        </w:rPr>
        <w:t>1.1 工程</w:t>
      </w:r>
      <w:r>
        <w:rPr>
          <w:rFonts w:hint="eastAsia" w:ascii="宋体" w:hAnsi="宋体" w:eastAsia="宋体"/>
          <w:b/>
          <w:sz w:val="28"/>
          <w:szCs w:val="28"/>
        </w:rPr>
        <w:t>概况</w:t>
      </w:r>
      <w:bookmarkEnd w:id="3"/>
      <w:bookmarkEnd w:id="4"/>
    </w:p>
    <w:p>
      <w:pPr>
        <w:spacing w:line="360" w:lineRule="auto"/>
        <w:ind w:firstLine="560" w:firstLineChars="200"/>
        <w:rPr>
          <w:rFonts w:asciiTheme="minorEastAsia" w:hAnsiTheme="minorEastAsia"/>
          <w:sz w:val="28"/>
          <w:szCs w:val="28"/>
        </w:rPr>
      </w:pPr>
      <w:r>
        <w:rPr>
          <w:rFonts w:asciiTheme="minorEastAsia" w:hAnsiTheme="minorEastAsia"/>
          <w:sz w:val="28"/>
          <w:szCs w:val="28"/>
        </w:rPr>
        <w:t>小河头水库位于梁河县小厂乡的户赛河上游，距梁河县城约36km，距小厂乡政府约1km，工程区对内、对外交通条件较好：对外有小厂乡至梁河县城公路从水库旁经过，距离为1.0km；对内有乡村机耕路便道，工程需进行路面维护、扩建3.0km,新修上坝道路0.3km。</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小河头水库是一座以农田灌溉用水为主，并兼顾农村人畜饮水的Ⅳ等小（1）型水库。水库坝址以上流域面积为1.84km</w:t>
      </w:r>
      <w:r>
        <w:rPr>
          <w:rFonts w:asciiTheme="minorEastAsia" w:hAnsiTheme="minorEastAsia"/>
          <w:sz w:val="28"/>
          <w:szCs w:val="28"/>
          <w:vertAlign w:val="superscript"/>
        </w:rPr>
        <w:t>2</w:t>
      </w:r>
      <w:r>
        <w:rPr>
          <w:rFonts w:asciiTheme="minorEastAsia" w:hAnsiTheme="minorEastAsia"/>
          <w:sz w:val="28"/>
          <w:szCs w:val="28"/>
        </w:rPr>
        <w:t>，水库正常蓄水位2006.00m，校核洪水位2007.21 m，坝高31.60m，坝长186.50m，总库容为116.63万m</w:t>
      </w:r>
      <w:r>
        <w:rPr>
          <w:rFonts w:asciiTheme="minorEastAsia" w:hAnsiTheme="minorEastAsia"/>
          <w:sz w:val="28"/>
          <w:szCs w:val="28"/>
          <w:vertAlign w:val="superscript"/>
        </w:rPr>
        <w:t>3</w:t>
      </w:r>
      <w:r>
        <w:rPr>
          <w:rFonts w:asciiTheme="minorEastAsia" w:hAnsiTheme="minorEastAsia"/>
          <w:sz w:val="28"/>
          <w:szCs w:val="28"/>
        </w:rPr>
        <w:t>，兴利库容94.73万m</w:t>
      </w:r>
      <w:r>
        <w:rPr>
          <w:rFonts w:asciiTheme="minorEastAsia" w:hAnsiTheme="minorEastAsia"/>
          <w:sz w:val="28"/>
          <w:szCs w:val="28"/>
          <w:vertAlign w:val="superscript"/>
        </w:rPr>
        <w:t>3</w:t>
      </w:r>
      <w:r>
        <w:rPr>
          <w:rFonts w:asciiTheme="minorEastAsia" w:hAnsiTheme="minorEastAsia"/>
          <w:sz w:val="28"/>
          <w:szCs w:val="28"/>
        </w:rPr>
        <w:t>，死库容6.90万m</w:t>
      </w:r>
      <w:r>
        <w:rPr>
          <w:rFonts w:asciiTheme="minorEastAsia" w:hAnsiTheme="minorEastAsia"/>
          <w:sz w:val="28"/>
          <w:szCs w:val="28"/>
          <w:vertAlign w:val="superscript"/>
        </w:rPr>
        <w:t>3</w:t>
      </w:r>
      <w:r>
        <w:rPr>
          <w:rFonts w:asciiTheme="minorEastAsia" w:hAnsiTheme="minorEastAsia"/>
          <w:sz w:val="28"/>
          <w:szCs w:val="28"/>
        </w:rPr>
        <w:t>，可供水量162.60万m</w:t>
      </w:r>
      <w:r>
        <w:rPr>
          <w:rFonts w:asciiTheme="minorEastAsia" w:hAnsiTheme="minorEastAsia"/>
          <w:sz w:val="28"/>
          <w:szCs w:val="28"/>
          <w:vertAlign w:val="superscript"/>
        </w:rPr>
        <w:t>3</w:t>
      </w:r>
      <w:r>
        <w:rPr>
          <w:rFonts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小河头水库建成后，解决农村人畜饮水人口为4500人，可</w:t>
      </w:r>
      <w:r>
        <w:rPr>
          <w:rFonts w:asciiTheme="minorEastAsia" w:hAnsiTheme="minorEastAsia"/>
          <w:bCs/>
          <w:sz w:val="28"/>
          <w:szCs w:val="28"/>
        </w:rPr>
        <w:t>改善</w:t>
      </w:r>
      <w:r>
        <w:rPr>
          <w:rFonts w:asciiTheme="minorEastAsia" w:hAnsiTheme="minorEastAsia"/>
          <w:sz w:val="28"/>
          <w:szCs w:val="28"/>
        </w:rPr>
        <w:t>灌溉面积2000亩</w:t>
      </w:r>
      <w:r>
        <w:rPr>
          <w:rFonts w:asciiTheme="minorEastAsia" w:hAnsiTheme="minorEastAsia"/>
          <w:bCs/>
          <w:sz w:val="28"/>
          <w:szCs w:val="28"/>
        </w:rPr>
        <w:t>。设计水平年</w:t>
      </w:r>
      <w:r>
        <w:rPr>
          <w:rFonts w:asciiTheme="minorEastAsia" w:hAnsiTheme="minorEastAsia"/>
          <w:sz w:val="28"/>
          <w:szCs w:val="28"/>
        </w:rPr>
        <w:t>农村人畜饮水</w:t>
      </w:r>
      <w:r>
        <w:rPr>
          <w:rFonts w:asciiTheme="minorEastAsia" w:hAnsiTheme="minorEastAsia"/>
          <w:bCs/>
          <w:sz w:val="28"/>
          <w:szCs w:val="28"/>
        </w:rPr>
        <w:t>供水量20.10万m</w:t>
      </w:r>
      <w:r>
        <w:rPr>
          <w:rFonts w:asciiTheme="minorEastAsia" w:hAnsiTheme="minorEastAsia"/>
          <w:bCs/>
          <w:sz w:val="28"/>
          <w:szCs w:val="28"/>
          <w:vertAlign w:val="superscript"/>
        </w:rPr>
        <w:t>3</w:t>
      </w:r>
      <w:r>
        <w:rPr>
          <w:rFonts w:asciiTheme="minorEastAsia" w:hAnsiTheme="minorEastAsia"/>
          <w:bCs/>
          <w:sz w:val="28"/>
          <w:szCs w:val="28"/>
        </w:rPr>
        <w:t>，灌溉用水量142.60万m</w:t>
      </w:r>
      <w:r>
        <w:rPr>
          <w:rFonts w:asciiTheme="minorEastAsia" w:hAnsiTheme="minorEastAsia"/>
          <w:bCs/>
          <w:sz w:val="28"/>
          <w:szCs w:val="28"/>
          <w:vertAlign w:val="superscript"/>
        </w:rPr>
        <w:t>3</w:t>
      </w:r>
      <w:r>
        <w:rPr>
          <w:rFonts w:asciiTheme="minorEastAsia" w:hAnsiTheme="minorEastAsia"/>
          <w:bCs/>
          <w:sz w:val="28"/>
          <w:szCs w:val="28"/>
        </w:rPr>
        <w:t>，年供水量为162.70万m</w:t>
      </w:r>
      <w:r>
        <w:rPr>
          <w:rFonts w:asciiTheme="minorEastAsia" w:hAnsiTheme="minorEastAsia"/>
          <w:bCs/>
          <w:sz w:val="28"/>
          <w:szCs w:val="28"/>
          <w:vertAlign w:val="superscript"/>
        </w:rPr>
        <w:t>3</w:t>
      </w:r>
      <w:r>
        <w:rPr>
          <w:rFonts w:asciiTheme="minorEastAsia" w:hAnsiTheme="minorEastAsia"/>
          <w:bCs/>
          <w:sz w:val="28"/>
          <w:szCs w:val="28"/>
        </w:rPr>
        <w:t>。</w:t>
      </w:r>
    </w:p>
    <w:p>
      <w:pPr>
        <w:spacing w:line="360" w:lineRule="auto"/>
        <w:outlineLvl w:val="1"/>
        <w:rPr>
          <w:rFonts w:asciiTheme="minorEastAsia" w:hAnsiTheme="minorEastAsia"/>
          <w:b/>
          <w:sz w:val="28"/>
          <w:szCs w:val="28"/>
        </w:rPr>
      </w:pPr>
      <w:bookmarkStart w:id="14" w:name="_Toc406933990"/>
      <w:bookmarkStart w:id="15" w:name="_Toc37243144"/>
      <w:r>
        <w:rPr>
          <w:rFonts w:asciiTheme="minorEastAsia" w:hAnsiTheme="minorEastAsia"/>
          <w:b/>
          <w:sz w:val="28"/>
          <w:szCs w:val="28"/>
        </w:rPr>
        <w:t>1.2 枢纽工程布置</w:t>
      </w:r>
      <w:bookmarkEnd w:id="14"/>
      <w:bookmarkEnd w:id="15"/>
    </w:p>
    <w:p>
      <w:pPr>
        <w:spacing w:line="360" w:lineRule="auto"/>
        <w:ind w:firstLine="560" w:firstLineChars="200"/>
        <w:rPr>
          <w:rFonts w:asciiTheme="minorEastAsia" w:hAnsiTheme="minorEastAsia"/>
          <w:bCs/>
          <w:sz w:val="28"/>
          <w:szCs w:val="28"/>
        </w:rPr>
      </w:pPr>
      <w:r>
        <w:rPr>
          <w:rFonts w:asciiTheme="minorEastAsia" w:hAnsiTheme="minorEastAsia"/>
          <w:sz w:val="28"/>
          <w:szCs w:val="28"/>
        </w:rPr>
        <w:t>枢纽建筑物由主坝、副坝、输水泄洪隧洞组成。主坝为粘土心墙坝，坝轴线长186.50m。副坝为浆砌石坝，布置在主坝右坝肩，全长22.0m。输水泄洪隧洞布置在主坝右坝肩，全长271.82m，隧洞无压洞。</w:t>
      </w:r>
    </w:p>
    <w:p>
      <w:pPr>
        <w:spacing w:line="360" w:lineRule="auto"/>
        <w:ind w:firstLine="551" w:firstLineChars="196"/>
        <w:rPr>
          <w:rFonts w:asciiTheme="minorEastAsia" w:hAnsiTheme="minorEastAsia"/>
          <w:b/>
          <w:bCs/>
          <w:sz w:val="28"/>
          <w:szCs w:val="28"/>
        </w:rPr>
      </w:pPr>
      <w:r>
        <w:rPr>
          <w:rFonts w:asciiTheme="minorEastAsia" w:hAnsiTheme="minorEastAsia"/>
          <w:b/>
          <w:bCs/>
          <w:sz w:val="28"/>
          <w:szCs w:val="28"/>
        </w:rPr>
        <w:t>（1）</w:t>
      </w:r>
      <w:r>
        <w:rPr>
          <w:rFonts w:hint="eastAsia" w:asciiTheme="minorEastAsia" w:hAnsiTheme="minorEastAsia"/>
          <w:b/>
          <w:bCs/>
          <w:sz w:val="28"/>
          <w:szCs w:val="28"/>
        </w:rPr>
        <w:t>主</w:t>
      </w:r>
      <w:r>
        <w:rPr>
          <w:rFonts w:asciiTheme="minorEastAsia" w:hAnsiTheme="minorEastAsia"/>
          <w:b/>
          <w:bCs/>
          <w:sz w:val="28"/>
          <w:szCs w:val="28"/>
        </w:rPr>
        <w:t>坝</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主坝为粘土心墙坝，坝轴线长186.50m，</w:t>
      </w:r>
      <w:r>
        <w:rPr>
          <w:rFonts w:asciiTheme="minorEastAsia" w:hAnsiTheme="minorEastAsia"/>
          <w:sz w:val="28"/>
          <w:szCs w:val="28"/>
        </w:rPr>
        <w:t>坝顶高程2007.40m，坝顶宽5m，主坝上游坝坡坡比为1:2.75；主坝下游坝坡坡比从上至下分别为1:2.25、1:2.5、1:1.5；戗台宽2.0m，高程为1993.20m、1978.50m。截水槽底部宽度13.7m</w:t>
      </w:r>
      <w:r>
        <w:rPr>
          <w:rFonts w:hint="eastAsia" w:asciiTheme="minorEastAsia" w:hAnsiTheme="minorEastAsia"/>
          <w:sz w:val="28"/>
          <w:szCs w:val="28"/>
        </w:rPr>
        <w:t>，</w:t>
      </w:r>
      <w:r>
        <w:rPr>
          <w:rFonts w:asciiTheme="minorEastAsia" w:hAnsiTheme="minorEastAsia"/>
          <w:sz w:val="28"/>
          <w:szCs w:val="28"/>
        </w:rPr>
        <w:t>心墙顶宽3.0m，底部最大宽度为18.7m，上下游坡比为1:0.25</w:t>
      </w:r>
      <w:r>
        <w:rPr>
          <w:rFonts w:hint="eastAsia" w:asciiTheme="minorEastAsia" w:hAnsiTheme="minorEastAsia"/>
          <w:sz w:val="28"/>
          <w:szCs w:val="28"/>
        </w:rPr>
        <w:t>，</w:t>
      </w:r>
      <w:r>
        <w:rPr>
          <w:rFonts w:asciiTheme="minorEastAsia" w:hAnsiTheme="minorEastAsia"/>
          <w:sz w:val="28"/>
          <w:szCs w:val="28"/>
        </w:rPr>
        <w:t>心墙上下游设反滤过度层，每层厚2.0m，下游坝脚设排水棱体，棱体顶高程为1978.50m。</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根据地形地质条件及施工条件，坝基和两坝肩防渗处理采用在坝基开挖截水槽和帷幕灌浆方案，截水槽及帷幕防渗轴线均布置在坝轴线上，帷幕上下游布置固结灌浆，帷幕灌浆布置单排孔，孔距1.5m。坝基布置灌浆孔125个，左岸布置灌浆孔21个，右岸布置灌浆孔22个，总孔数为168个，帷幕灌浆造孔5658m，帷幕灌浆5093m。在主坝坝基帷幕灌浆轴线上下游各布设一排固结灌浆，距离帷幕轴线3.0m，孔距为3.0m，每一孔为一个灌段5.0m，总孔数为126个，固结灌浆造孔767m，固结灌浆767m。</w:t>
      </w:r>
      <w:r>
        <w:rPr>
          <w:rFonts w:hint="eastAsia" w:asciiTheme="minorEastAsia" w:hAnsiTheme="minorEastAsia"/>
          <w:sz w:val="28"/>
          <w:szCs w:val="28"/>
        </w:rPr>
        <w:t>粘土心墙</w:t>
      </w:r>
      <w:r>
        <w:rPr>
          <w:rFonts w:asciiTheme="minorEastAsia" w:hAnsiTheme="minorEastAsia"/>
          <w:sz w:val="28"/>
          <w:szCs w:val="28"/>
        </w:rPr>
        <w:t>坝基</w:t>
      </w:r>
      <w:r>
        <w:rPr>
          <w:rFonts w:hint="eastAsia" w:asciiTheme="minorEastAsia" w:hAnsiTheme="minorEastAsia"/>
          <w:sz w:val="28"/>
          <w:szCs w:val="28"/>
        </w:rPr>
        <w:t>布置厚0.8m的C15混凝土</w:t>
      </w:r>
      <w:r>
        <w:rPr>
          <w:rFonts w:asciiTheme="minorEastAsia" w:hAnsiTheme="minorEastAsia"/>
          <w:sz w:val="28"/>
          <w:szCs w:val="28"/>
        </w:rPr>
        <w:t>盖板</w:t>
      </w:r>
      <w:r>
        <w:rPr>
          <w:rFonts w:hint="eastAsia" w:asciiTheme="minorEastAsia" w:hAnsiTheme="minorEastAsia"/>
          <w:sz w:val="28"/>
          <w:szCs w:val="28"/>
        </w:rPr>
        <w:t>。</w:t>
      </w:r>
    </w:p>
    <w:p>
      <w:pPr>
        <w:spacing w:line="360" w:lineRule="auto"/>
        <w:ind w:firstLine="562" w:firstLineChars="200"/>
        <w:rPr>
          <w:rFonts w:asciiTheme="minorEastAsia" w:hAnsiTheme="minorEastAsia"/>
          <w:b/>
          <w:sz w:val="28"/>
          <w:szCs w:val="28"/>
        </w:rPr>
      </w:pPr>
      <w:r>
        <w:rPr>
          <w:rFonts w:asciiTheme="minorEastAsia" w:hAnsiTheme="minorEastAsia"/>
          <w:b/>
          <w:sz w:val="28"/>
          <w:szCs w:val="28"/>
        </w:rPr>
        <w:t>（2）</w:t>
      </w:r>
      <w:r>
        <w:rPr>
          <w:rFonts w:asciiTheme="minorEastAsia" w:hAnsiTheme="minorEastAsia"/>
          <w:b/>
          <w:bCs/>
          <w:sz w:val="28"/>
          <w:szCs w:val="28"/>
        </w:rPr>
        <w:t>副坝</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根据地形条件以及主坝工程布置，水库需要在主坝右岸山</w:t>
      </w:r>
      <w:r>
        <w:rPr>
          <w:rFonts w:hint="eastAsia" w:asciiTheme="minorEastAsia" w:hAnsiTheme="minorEastAsia"/>
          <w:sz w:val="28"/>
          <w:szCs w:val="28"/>
        </w:rPr>
        <w:t>脊单腰</w:t>
      </w:r>
      <w:r>
        <w:rPr>
          <w:rFonts w:asciiTheme="minorEastAsia" w:hAnsiTheme="minorEastAsia"/>
          <w:sz w:val="28"/>
          <w:szCs w:val="28"/>
        </w:rPr>
        <w:t>处布置副坝，副坝距离主坝80.40m。副坝采用M7.5浆砌石结构，坝长22.0m，顶宽1.0m，坝高为4.2m，迎水面坡比为1：0.1，背水面坡比为1：0.3，坝顶高程为2008.20m。</w:t>
      </w:r>
    </w:p>
    <w:p>
      <w:pPr>
        <w:spacing w:line="360" w:lineRule="auto"/>
        <w:ind w:firstLine="548" w:firstLineChars="196"/>
        <w:rPr>
          <w:rFonts w:asciiTheme="minorEastAsia" w:hAnsiTheme="minorEastAsia"/>
          <w:bCs/>
          <w:sz w:val="28"/>
          <w:szCs w:val="28"/>
        </w:rPr>
      </w:pPr>
      <w:r>
        <w:rPr>
          <w:rFonts w:asciiTheme="minorEastAsia" w:hAnsiTheme="minorEastAsia"/>
          <w:bCs/>
          <w:sz w:val="28"/>
          <w:szCs w:val="28"/>
        </w:rPr>
        <w:t>（3）</w:t>
      </w:r>
      <w:r>
        <w:rPr>
          <w:rFonts w:asciiTheme="minorEastAsia" w:hAnsiTheme="minorEastAsia"/>
          <w:b/>
          <w:bCs/>
          <w:sz w:val="28"/>
          <w:szCs w:val="28"/>
        </w:rPr>
        <w:t>输水泄洪隧洞</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根据地形条件，结合枢纽布置和施工组织等因素，导流、输水</w:t>
      </w:r>
      <w:r>
        <w:rPr>
          <w:rFonts w:hint="eastAsia" w:asciiTheme="minorEastAsia" w:hAnsiTheme="minorEastAsia"/>
          <w:sz w:val="28"/>
          <w:szCs w:val="28"/>
        </w:rPr>
        <w:t>、</w:t>
      </w:r>
      <w:r>
        <w:rPr>
          <w:rFonts w:asciiTheme="minorEastAsia" w:hAnsiTheme="minorEastAsia"/>
          <w:sz w:val="28"/>
          <w:szCs w:val="28"/>
        </w:rPr>
        <w:t>泄洪隧洞三洞合为一，工程布置于河道右岸，洞线在平面布置为直线，出口接溢洪道陡槽。导流、输水泄洪隧洞工程分引渠段、有压洞段、竖井段、无压洞段、明渠段和消力池段六部分</w:t>
      </w:r>
      <w:r>
        <w:rPr>
          <w:rFonts w:hint="eastAsia" w:asciiTheme="minorEastAsia" w:hAnsiTheme="minorEastAsia"/>
          <w:sz w:val="28"/>
          <w:szCs w:val="28"/>
        </w:rPr>
        <w:t>，</w:t>
      </w:r>
      <w:r>
        <w:rPr>
          <w:rFonts w:asciiTheme="minorEastAsia" w:hAnsiTheme="minorEastAsia"/>
          <w:sz w:val="28"/>
          <w:szCs w:val="28"/>
        </w:rPr>
        <w:t>全长271.82m</w:t>
      </w:r>
      <w:r>
        <w:rPr>
          <w:rFonts w:hint="eastAsia" w:asciiTheme="minorEastAsia" w:hAnsiTheme="minorEastAsia"/>
          <w:sz w:val="28"/>
          <w:szCs w:val="28"/>
        </w:rPr>
        <w:t>，</w:t>
      </w:r>
      <w:r>
        <w:rPr>
          <w:rFonts w:asciiTheme="minorEastAsia" w:hAnsiTheme="minorEastAsia"/>
          <w:sz w:val="28"/>
          <w:szCs w:val="28"/>
        </w:rPr>
        <w:t>隧洞为城门洞型，宽1.5m，高1.80m，设计输水流量0.30m</w:t>
      </w:r>
      <w:r>
        <w:rPr>
          <w:rFonts w:asciiTheme="minorEastAsia" w:hAnsiTheme="minorEastAsia"/>
          <w:sz w:val="28"/>
          <w:szCs w:val="28"/>
          <w:vertAlign w:val="superscript"/>
        </w:rPr>
        <w:t>3</w:t>
      </w:r>
      <w:r>
        <w:rPr>
          <w:rFonts w:asciiTheme="minorEastAsia" w:hAnsiTheme="minorEastAsia"/>
          <w:sz w:val="28"/>
          <w:szCs w:val="28"/>
        </w:rPr>
        <w:t>/s。</w:t>
      </w:r>
    </w:p>
    <w:p>
      <w:pPr>
        <w:spacing w:line="360" w:lineRule="auto"/>
        <w:outlineLvl w:val="1"/>
        <w:rPr>
          <w:rFonts w:asciiTheme="minorEastAsia" w:hAnsiTheme="minorEastAsia"/>
          <w:b/>
          <w:sz w:val="28"/>
          <w:szCs w:val="28"/>
        </w:rPr>
      </w:pPr>
      <w:bookmarkStart w:id="16" w:name="_Toc37243145"/>
      <w:bookmarkStart w:id="17" w:name="_Toc406933992"/>
      <w:r>
        <w:rPr>
          <w:rFonts w:asciiTheme="minorEastAsia" w:hAnsiTheme="minorEastAsia"/>
          <w:b/>
          <w:sz w:val="28"/>
          <w:szCs w:val="28"/>
        </w:rPr>
        <w:t>1.</w:t>
      </w:r>
      <w:r>
        <w:rPr>
          <w:rFonts w:hint="eastAsia" w:asciiTheme="minorEastAsia" w:hAnsiTheme="minorEastAsia"/>
          <w:b/>
          <w:sz w:val="28"/>
          <w:szCs w:val="28"/>
        </w:rPr>
        <w:t>3</w:t>
      </w:r>
      <w:r>
        <w:rPr>
          <w:rFonts w:asciiTheme="minorEastAsia" w:hAnsiTheme="minorEastAsia"/>
          <w:b/>
          <w:sz w:val="28"/>
          <w:szCs w:val="28"/>
        </w:rPr>
        <w:t xml:space="preserve"> 设计简要历程</w:t>
      </w:r>
      <w:bookmarkEnd w:id="16"/>
      <w:bookmarkEnd w:id="17"/>
    </w:p>
    <w:p>
      <w:pPr>
        <w:spacing w:line="360" w:lineRule="auto"/>
        <w:ind w:firstLine="560" w:firstLineChars="200"/>
        <w:rPr>
          <w:rFonts w:ascii="宋体" w:hAnsi="宋体"/>
          <w:sz w:val="28"/>
          <w:szCs w:val="30"/>
        </w:rPr>
      </w:pPr>
      <w:r>
        <w:rPr>
          <w:rFonts w:hint="eastAsia" w:ascii="宋体" w:hAnsi="宋体"/>
          <w:sz w:val="28"/>
          <w:szCs w:val="28"/>
        </w:rPr>
        <w:t>2010年6月，德宏州水利电力勘察设计院（以下简称我院）</w:t>
      </w:r>
      <w:r>
        <w:rPr>
          <w:rFonts w:hint="eastAsia" w:ascii="宋体" w:hAnsi="宋体"/>
          <w:sz w:val="28"/>
          <w:szCs w:val="30"/>
        </w:rPr>
        <w:t>受梁河县水利局的委托承担梁河县小河头水库设计工作。</w:t>
      </w:r>
    </w:p>
    <w:p>
      <w:pPr>
        <w:spacing w:line="606" w:lineRule="exact"/>
        <w:ind w:firstLine="560" w:firstLineChars="200"/>
        <w:rPr>
          <w:rFonts w:hAnsi="宋体"/>
          <w:sz w:val="28"/>
          <w:szCs w:val="28"/>
        </w:rPr>
      </w:pPr>
      <w:r>
        <w:rPr>
          <w:rFonts w:hint="eastAsia" w:hAnsi="宋体"/>
          <w:sz w:val="28"/>
          <w:szCs w:val="28"/>
        </w:rPr>
        <w:t>（1）2011年6月，设计院完成了《梁河县小河头水库工程可行性研究报告》编制工作。</w:t>
      </w:r>
    </w:p>
    <w:p>
      <w:pPr>
        <w:spacing w:line="606" w:lineRule="exact"/>
        <w:ind w:firstLine="560" w:firstLineChars="200"/>
        <w:rPr>
          <w:rFonts w:hAnsi="宋体"/>
          <w:sz w:val="28"/>
          <w:szCs w:val="28"/>
        </w:rPr>
      </w:pPr>
      <w:r>
        <w:rPr>
          <w:rFonts w:hint="eastAsia" w:hAnsi="宋体"/>
          <w:sz w:val="28"/>
          <w:szCs w:val="28"/>
        </w:rPr>
        <w:t>（2）2011年11月，德宏州发展和改革委员会以“德发改农经〔2011〕845号文”批复了《梁河县小河头水库工程可行性研究报告》，审核工程总投资4586万元。</w:t>
      </w:r>
    </w:p>
    <w:p>
      <w:pPr>
        <w:spacing w:line="606" w:lineRule="exact"/>
        <w:ind w:firstLine="560" w:firstLineChars="200"/>
        <w:rPr>
          <w:rFonts w:hAnsi="宋体"/>
          <w:sz w:val="28"/>
          <w:szCs w:val="28"/>
        </w:rPr>
      </w:pPr>
      <w:r>
        <w:rPr>
          <w:rFonts w:hint="eastAsia" w:hAnsi="宋体"/>
          <w:sz w:val="28"/>
          <w:szCs w:val="28"/>
        </w:rPr>
        <w:t>（3）2012年3月，设计院完成了《梁河县小河头水库工程初步设计工作报告》编制工作。</w:t>
      </w:r>
    </w:p>
    <w:p>
      <w:pPr>
        <w:spacing w:line="606" w:lineRule="exact"/>
        <w:ind w:firstLine="560" w:firstLineChars="200"/>
        <w:rPr>
          <w:rFonts w:hAnsi="宋体"/>
          <w:sz w:val="28"/>
          <w:szCs w:val="28"/>
        </w:rPr>
      </w:pPr>
      <w:r>
        <w:rPr>
          <w:rFonts w:hint="eastAsia" w:hAnsi="宋体"/>
          <w:sz w:val="28"/>
          <w:szCs w:val="28"/>
        </w:rPr>
        <w:t>（4）2012年9月，德宏州水利局、德宏州发展和改革委员会组织专家组对《梁河县小河头水库工程初步设计报告》进行了审查，</w:t>
      </w:r>
    </w:p>
    <w:p>
      <w:pPr>
        <w:spacing w:line="360" w:lineRule="auto"/>
        <w:ind w:firstLine="560" w:firstLineChars="200"/>
        <w:rPr>
          <w:rFonts w:ascii="宋体" w:hAnsi="宋体"/>
          <w:sz w:val="28"/>
          <w:szCs w:val="30"/>
        </w:rPr>
      </w:pPr>
      <w:r>
        <w:rPr>
          <w:rFonts w:hint="eastAsia" w:hAnsi="宋体"/>
          <w:sz w:val="28"/>
          <w:szCs w:val="28"/>
        </w:rPr>
        <w:t>（5）2012年9月10日，德宏州水利局以“德水复〔2012〕310号文”《梁河县小河头水库工程初步设计报告》。 批复水库总库容为116.63万m</w:t>
      </w:r>
      <w:r>
        <w:rPr>
          <w:rFonts w:hint="eastAsia" w:hAnsi="宋体"/>
          <w:sz w:val="28"/>
          <w:szCs w:val="28"/>
          <w:vertAlign w:val="superscript"/>
        </w:rPr>
        <w:t>3</w:t>
      </w:r>
      <w:r>
        <w:rPr>
          <w:rFonts w:hint="eastAsia" w:hAnsi="宋体"/>
          <w:sz w:val="28"/>
          <w:szCs w:val="28"/>
        </w:rPr>
        <w:t>，总投资为4035.77万元，其中：建筑工程2769.90万元、机电设备及安装工程35万元、金属结构设备及安装工程59.34万元、临时工程121.80万元、独立费用629.77万元、预备费180.79万元、移民和环境部分总投资239.17万元。</w:t>
      </w:r>
    </w:p>
    <w:p>
      <w:pPr>
        <w:spacing w:before="24" w:after="24" w:line="360" w:lineRule="auto"/>
        <w:ind w:firstLine="560" w:firstLineChars="200"/>
        <w:rPr>
          <w:rFonts w:ascii="Times New Roman" w:hAnsi="Times New Roman" w:eastAsia="宋体" w:cs="Times New Roman"/>
          <w:b/>
          <w:sz w:val="28"/>
          <w:szCs w:val="28"/>
        </w:rPr>
      </w:pPr>
      <w:r>
        <w:rPr>
          <w:rFonts w:hint="eastAsia" w:hAnsi="宋体"/>
          <w:sz w:val="28"/>
          <w:szCs w:val="28"/>
        </w:rPr>
        <w:t>（6）</w:t>
      </w:r>
      <w:r>
        <w:rPr>
          <w:rFonts w:hint="eastAsia" w:ascii="宋体" w:hAnsi="宋体"/>
          <w:sz w:val="28"/>
          <w:szCs w:val="28"/>
        </w:rPr>
        <w:t>初步设计批复后，设计单位随即展开了技施设计工作，2012年12月30日，开工建设，2017年5月30日，工程完工</w:t>
      </w:r>
      <w:r>
        <w:rPr>
          <w:rFonts w:hint="eastAsia" w:asciiTheme="minorEastAsia" w:hAnsiTheme="minorEastAsia"/>
          <w:sz w:val="28"/>
          <w:szCs w:val="28"/>
        </w:rPr>
        <w:t>。</w:t>
      </w:r>
      <w:bookmarkEnd w:id="5"/>
      <w:bookmarkEnd w:id="6"/>
      <w:bookmarkEnd w:id="7"/>
      <w:bookmarkEnd w:id="8"/>
      <w:bookmarkEnd w:id="9"/>
      <w:bookmarkEnd w:id="10"/>
      <w:bookmarkEnd w:id="11"/>
      <w:bookmarkEnd w:id="12"/>
      <w:bookmarkEnd w:id="13"/>
    </w:p>
    <w:p>
      <w:pPr>
        <w:pStyle w:val="2"/>
        <w:numPr>
          <w:ilvl w:val="0"/>
          <w:numId w:val="0"/>
        </w:numPr>
        <w:spacing w:before="124" w:after="62"/>
        <w:jc w:val="center"/>
        <w:rPr>
          <w:sz w:val="36"/>
          <w:szCs w:val="36"/>
        </w:rPr>
      </w:pPr>
      <w:bookmarkStart w:id="18" w:name="_Toc37243146"/>
      <w:bookmarkStart w:id="19" w:name="_Toc370684492"/>
      <w:r>
        <w:rPr>
          <w:rFonts w:hint="eastAsia"/>
          <w:sz w:val="36"/>
          <w:szCs w:val="36"/>
        </w:rPr>
        <w:t>2、加固原因</w:t>
      </w:r>
      <w:bookmarkEnd w:id="18"/>
    </w:p>
    <w:bookmarkEnd w:id="19"/>
    <w:p>
      <w:pPr>
        <w:spacing w:line="360" w:lineRule="auto"/>
        <w:ind w:firstLine="560" w:firstLineChars="200"/>
        <w:rPr>
          <w:rFonts w:cs="Times New Roman" w:asciiTheme="minorEastAsia" w:hAnsiTheme="minorEastAsia"/>
          <w:sz w:val="28"/>
          <w:szCs w:val="28"/>
        </w:rPr>
      </w:pPr>
      <w:r>
        <w:rPr>
          <w:rFonts w:hint="eastAsia" w:asciiTheme="minorEastAsia" w:hAnsiTheme="minorEastAsia"/>
          <w:sz w:val="28"/>
          <w:szCs w:val="28"/>
        </w:rPr>
        <w:t>梁河县小河头水库工程管理所在工程运行管理巡查时发现：</w:t>
      </w:r>
      <w:r>
        <w:rPr>
          <w:rFonts w:hint="eastAsia" w:cs="Times New Roman" w:asciiTheme="minorEastAsia" w:hAnsiTheme="minorEastAsia"/>
          <w:sz w:val="28"/>
          <w:szCs w:val="28"/>
        </w:rPr>
        <w:t>隧洞启闭机房一层无围墙存在安全隐患</w:t>
      </w:r>
      <w:r>
        <w:rPr>
          <w:rFonts w:hint="eastAsia" w:asciiTheme="minorEastAsia" w:hAnsiTheme="minorEastAsia"/>
          <w:sz w:val="28"/>
          <w:szCs w:val="28"/>
        </w:rPr>
        <w:t>，隧洞</w:t>
      </w:r>
      <w:r>
        <w:rPr>
          <w:rFonts w:hint="eastAsia" w:cs="Times New Roman" w:asciiTheme="minorEastAsia" w:hAnsiTheme="minorEastAsia"/>
          <w:sz w:val="28"/>
          <w:szCs w:val="28"/>
        </w:rPr>
        <w:t>隧洞启闭机房二层空间狭小启闭机操作困难；水库蓄水至高水位时</w:t>
      </w:r>
      <w:r>
        <w:rPr>
          <w:rFonts w:hint="eastAsia" w:asciiTheme="minorEastAsia" w:hAnsiTheme="minorEastAsia"/>
          <w:sz w:val="28"/>
          <w:szCs w:val="28"/>
        </w:rPr>
        <w:t>大坝两坝肩山体出现少量渗水，经测量渗水总量约为5L/s。</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根据梁河县小河头水库工程运行中情况,</w:t>
      </w:r>
      <w:r>
        <w:rPr>
          <w:rFonts w:hint="eastAsia" w:hAnsi="宋体"/>
          <w:sz w:val="28"/>
          <w:szCs w:val="28"/>
        </w:rPr>
        <w:t xml:space="preserve"> 2012年9月</w:t>
      </w:r>
      <w:r>
        <w:rPr>
          <w:rFonts w:hint="eastAsia" w:asciiTheme="minorEastAsia" w:hAnsiTheme="minorEastAsia"/>
          <w:sz w:val="28"/>
          <w:szCs w:val="28"/>
        </w:rPr>
        <w:t>梁河县水利局组织昆明天筑建设工程监理有限公司、云南省水利水电工程有限公司、大理润达工程质量检测有限公司、德宏州水利电力勘察设计院等参建各方进行了多次的讨论分析，为了水库工程安全运行，提出对隧洞</w:t>
      </w:r>
      <w:r>
        <w:rPr>
          <w:rFonts w:hint="eastAsia" w:cs="Times New Roman" w:asciiTheme="minorEastAsia" w:hAnsiTheme="minorEastAsia"/>
          <w:sz w:val="28"/>
          <w:szCs w:val="28"/>
        </w:rPr>
        <w:t>隧洞启闭机房进行改造</w:t>
      </w:r>
      <w:r>
        <w:rPr>
          <w:rFonts w:hint="eastAsia" w:asciiTheme="minorEastAsia" w:hAnsiTheme="minorEastAsia"/>
          <w:sz w:val="28"/>
          <w:szCs w:val="28"/>
        </w:rPr>
        <w:t>，增加大坝两坝肩</w:t>
      </w:r>
      <w:r>
        <w:rPr>
          <w:rFonts w:ascii="宋体" w:hAnsi="宋体"/>
          <w:sz w:val="28"/>
          <w:szCs w:val="28"/>
        </w:rPr>
        <w:t>帷幕灌浆长度</w:t>
      </w:r>
      <w:r>
        <w:rPr>
          <w:rFonts w:hint="eastAsia" w:asciiTheme="minorEastAsia" w:hAnsiTheme="minorEastAsia"/>
          <w:sz w:val="28"/>
          <w:szCs w:val="28"/>
        </w:rPr>
        <w:t>。</w:t>
      </w:r>
    </w:p>
    <w:p>
      <w:pPr>
        <w:widowControl/>
        <w:jc w:val="left"/>
        <w:rPr>
          <w:rFonts w:cs="Times New Roman" w:asciiTheme="minorEastAsia" w:hAnsiTheme="minorEastAsia"/>
          <w:sz w:val="28"/>
          <w:szCs w:val="28"/>
        </w:rPr>
      </w:pPr>
      <w:r>
        <w:rPr>
          <w:rFonts w:asciiTheme="minorEastAsia" w:hAnsiTheme="minorEastAsia"/>
          <w:sz w:val="28"/>
          <w:szCs w:val="28"/>
        </w:rPr>
        <w:br w:type="page"/>
      </w:r>
    </w:p>
    <w:p>
      <w:pPr>
        <w:pStyle w:val="2"/>
        <w:numPr>
          <w:ilvl w:val="0"/>
          <w:numId w:val="0"/>
        </w:numPr>
        <w:spacing w:before="124" w:after="62"/>
        <w:jc w:val="center"/>
        <w:rPr>
          <w:sz w:val="36"/>
          <w:szCs w:val="36"/>
        </w:rPr>
      </w:pPr>
      <w:bookmarkStart w:id="20" w:name="_Toc37243147"/>
      <w:r>
        <w:rPr>
          <w:rFonts w:hint="eastAsia"/>
          <w:sz w:val="36"/>
          <w:szCs w:val="36"/>
        </w:rPr>
        <w:t>3、维护加固设计</w:t>
      </w:r>
      <w:bookmarkEnd w:id="20"/>
    </w:p>
    <w:p>
      <w:pPr>
        <w:spacing w:line="360" w:lineRule="auto"/>
        <w:outlineLvl w:val="1"/>
        <w:rPr>
          <w:rFonts w:asciiTheme="minorEastAsia" w:hAnsiTheme="minorEastAsia"/>
          <w:b/>
          <w:sz w:val="28"/>
          <w:szCs w:val="28"/>
        </w:rPr>
      </w:pPr>
      <w:bookmarkStart w:id="21" w:name="_Toc37243148"/>
      <w:r>
        <w:rPr>
          <w:rFonts w:hint="eastAsia" w:asciiTheme="minorEastAsia" w:hAnsiTheme="minorEastAsia"/>
          <w:b/>
          <w:sz w:val="28"/>
          <w:szCs w:val="28"/>
        </w:rPr>
        <w:t>3.1隧洞启闭机房</w:t>
      </w:r>
      <w:bookmarkEnd w:id="21"/>
    </w:p>
    <w:p>
      <w:pPr>
        <w:spacing w:before="24" w:after="24" w:line="360" w:lineRule="auto"/>
        <w:ind w:firstLine="560" w:firstLineChars="200"/>
        <w:rPr>
          <w:rFonts w:ascii="宋体" w:hAnsi="宋体" w:eastAsia="宋体" w:cs="Times New Roman"/>
          <w:sz w:val="28"/>
          <w:szCs w:val="28"/>
        </w:rPr>
      </w:pPr>
      <w:r>
        <w:rPr>
          <w:rFonts w:hint="eastAsia" w:cs="Times New Roman" w:asciiTheme="minorEastAsia" w:hAnsiTheme="minorEastAsia"/>
          <w:sz w:val="28"/>
          <w:szCs w:val="28"/>
        </w:rPr>
        <w:t>隧洞启闭机房一层增加围墙、门窗及装修</w:t>
      </w:r>
      <w:r>
        <w:rPr>
          <w:rFonts w:hint="eastAsia" w:asciiTheme="minorEastAsia" w:hAnsiTheme="minorEastAsia"/>
          <w:sz w:val="28"/>
          <w:szCs w:val="28"/>
        </w:rPr>
        <w:t>，拆除原</w:t>
      </w:r>
      <w:r>
        <w:rPr>
          <w:rFonts w:hint="eastAsia" w:cs="Times New Roman" w:asciiTheme="minorEastAsia" w:hAnsiTheme="minorEastAsia"/>
          <w:sz w:val="28"/>
          <w:szCs w:val="28"/>
        </w:rPr>
        <w:t>二层墙体和门窗，在楼板边沿增加新墙及装修，</w:t>
      </w:r>
      <w:r>
        <w:rPr>
          <w:rFonts w:hint="eastAsia" w:asciiTheme="minorEastAsia" w:hAnsiTheme="minorEastAsia"/>
          <w:sz w:val="28"/>
          <w:szCs w:val="28"/>
        </w:rPr>
        <w:t>拆除原楼梯，在</w:t>
      </w:r>
      <w:r>
        <w:rPr>
          <w:rFonts w:hint="eastAsia" w:cs="Times New Roman" w:asciiTheme="minorEastAsia" w:hAnsiTheme="minorEastAsia"/>
          <w:sz w:val="28"/>
          <w:szCs w:val="28"/>
        </w:rPr>
        <w:t>启闭机房右侧新建</w:t>
      </w:r>
      <w:r>
        <w:rPr>
          <w:rFonts w:hint="eastAsia" w:asciiTheme="minorEastAsia" w:hAnsiTheme="minorEastAsia"/>
          <w:sz w:val="28"/>
          <w:szCs w:val="28"/>
        </w:rPr>
        <w:t>楼梯</w:t>
      </w:r>
      <w:r>
        <w:rPr>
          <w:rFonts w:hint="eastAsia" w:ascii="宋体" w:hAnsi="宋体" w:eastAsia="宋体" w:cs="Times New Roman"/>
          <w:sz w:val="28"/>
          <w:szCs w:val="28"/>
        </w:rPr>
        <w:t>。</w:t>
      </w:r>
    </w:p>
    <w:p>
      <w:pPr>
        <w:spacing w:line="360" w:lineRule="auto"/>
        <w:outlineLvl w:val="1"/>
        <w:rPr>
          <w:rFonts w:asciiTheme="minorEastAsia" w:hAnsiTheme="minorEastAsia"/>
          <w:b/>
          <w:sz w:val="28"/>
          <w:szCs w:val="28"/>
        </w:rPr>
      </w:pPr>
      <w:bookmarkStart w:id="22" w:name="_Toc37243149"/>
      <w:r>
        <w:rPr>
          <w:rFonts w:hint="eastAsia" w:asciiTheme="minorEastAsia" w:hAnsiTheme="minorEastAsia"/>
          <w:b/>
          <w:sz w:val="28"/>
          <w:szCs w:val="28"/>
        </w:rPr>
        <w:t>3.2 大坝两坝肩防渗方案</w:t>
      </w:r>
      <w:bookmarkEnd w:id="22"/>
    </w:p>
    <w:p>
      <w:pPr>
        <w:spacing w:line="360" w:lineRule="auto"/>
        <w:outlineLvl w:val="1"/>
        <w:rPr>
          <w:rFonts w:asciiTheme="minorEastAsia" w:hAnsiTheme="minorEastAsia"/>
          <w:b/>
          <w:sz w:val="28"/>
          <w:szCs w:val="28"/>
        </w:rPr>
      </w:pPr>
      <w:bookmarkStart w:id="23" w:name="_Toc37243150"/>
      <w:r>
        <w:rPr>
          <w:rFonts w:hint="eastAsia" w:asciiTheme="minorEastAsia" w:hAnsiTheme="minorEastAsia"/>
          <w:b/>
          <w:sz w:val="28"/>
          <w:szCs w:val="28"/>
        </w:rPr>
        <w:t>3.2.1地质条件</w:t>
      </w:r>
      <w:bookmarkEnd w:id="23"/>
    </w:p>
    <w:p>
      <w:pPr>
        <w:spacing w:line="360" w:lineRule="auto"/>
        <w:ind w:firstLine="560" w:firstLineChars="200"/>
        <w:rPr>
          <w:rFonts w:asciiTheme="minorEastAsia" w:hAnsiTheme="minorEastAsia"/>
          <w:sz w:val="28"/>
          <w:szCs w:val="28"/>
        </w:rPr>
      </w:pPr>
      <w:r>
        <w:rPr>
          <w:rFonts w:asciiTheme="minorEastAsia" w:hAnsiTheme="minorEastAsia"/>
          <w:sz w:val="28"/>
          <w:szCs w:val="28"/>
        </w:rPr>
        <w:t>大坝左岸岸坡表层均为第四系残坡积壤土、含碎砾砂壤土覆盖，土层结构疏松～中密，压缩性高，透水性中等，厚0.5～2m。易发生渗透变形，允许承载力〔R〕=0.12～0.16 MPa。以下为第三系中新统南林组上段（N</w:t>
      </w:r>
      <w:r>
        <w:rPr>
          <w:rFonts w:asciiTheme="minorEastAsia" w:hAnsiTheme="minorEastAsia"/>
          <w:sz w:val="28"/>
          <w:szCs w:val="28"/>
          <w:vertAlign w:val="subscript"/>
        </w:rPr>
        <w:t>1</w:t>
      </w:r>
      <w:r>
        <w:rPr>
          <w:rFonts w:asciiTheme="minorEastAsia" w:hAnsiTheme="minorEastAsia"/>
          <w:sz w:val="28"/>
          <w:szCs w:val="28"/>
          <w:vertAlign w:val="superscript"/>
        </w:rPr>
        <w:t>n2</w:t>
      </w:r>
      <w:r>
        <w:rPr>
          <w:rFonts w:asciiTheme="minorEastAsia" w:hAnsiTheme="minorEastAsia"/>
          <w:sz w:val="28"/>
          <w:szCs w:val="28"/>
        </w:rPr>
        <w:t>）地层中的全～强风化粉砂岩、粘土岩互层。下伏基岩为石英岩、微晶片岩夹变粒岩，弱风化带下限埋深23.5m，允许承载力〔R〕=0.30～0.45MPa。地下水位埋深15.7m，为孔隙潜水，其上部的透水层为弱-中等透水，k= 3.54Χ10</w:t>
      </w:r>
      <w:r>
        <w:rPr>
          <w:rFonts w:asciiTheme="minorEastAsia" w:hAnsiTheme="minorEastAsia"/>
          <w:sz w:val="28"/>
          <w:szCs w:val="28"/>
          <w:vertAlign w:val="superscript"/>
        </w:rPr>
        <w:t>-4</w:t>
      </w:r>
      <w:r>
        <w:rPr>
          <w:rFonts w:asciiTheme="minorEastAsia" w:hAnsiTheme="minorEastAsia"/>
          <w:sz w:val="28"/>
          <w:szCs w:val="28"/>
        </w:rPr>
        <w:t>cm/s。其中全～强风化粉砂岩、粘土岩互层一般为弱-中等透水层，左岸相对隔水层埋深23.5m。</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大坝右岸岸坡表层均为第四系残坡积壤土、含碎砾砂壤土覆盖，土层结构疏松～中密，压缩性中等，透水性中等，厚1～2m。易发生渗透变形，允许承载力〔R〕=0.12～0.16 MPa。以下为第三系中新统南林组上段（N</w:t>
      </w:r>
      <w:r>
        <w:rPr>
          <w:rFonts w:asciiTheme="minorEastAsia" w:hAnsiTheme="minorEastAsia"/>
          <w:sz w:val="28"/>
          <w:szCs w:val="28"/>
          <w:vertAlign w:val="subscript"/>
        </w:rPr>
        <w:t>1</w:t>
      </w:r>
      <w:r>
        <w:rPr>
          <w:rFonts w:asciiTheme="minorEastAsia" w:hAnsiTheme="minorEastAsia"/>
          <w:sz w:val="28"/>
          <w:szCs w:val="28"/>
          <w:vertAlign w:val="superscript"/>
        </w:rPr>
        <w:t>n2</w:t>
      </w:r>
      <w:r>
        <w:rPr>
          <w:rFonts w:asciiTheme="minorEastAsia" w:hAnsiTheme="minorEastAsia"/>
          <w:sz w:val="28"/>
          <w:szCs w:val="28"/>
        </w:rPr>
        <w:t>）地层中的全～强风化粉砂岩、粘土岩互层。下伏下伏基岩为石英岩、微晶片岩夹变粒岩，弱风化带埋深35.4m，允许承载力〔R〕=0.26～0.42 MPa。地下水位埋深30.2m，相对隔水层埋深35.4m。</w:t>
      </w:r>
    </w:p>
    <w:p>
      <w:pPr>
        <w:spacing w:line="360" w:lineRule="auto"/>
        <w:outlineLvl w:val="1"/>
        <w:rPr>
          <w:rFonts w:asciiTheme="minorEastAsia" w:hAnsiTheme="minorEastAsia"/>
          <w:b/>
          <w:sz w:val="28"/>
          <w:szCs w:val="28"/>
        </w:rPr>
      </w:pPr>
      <w:bookmarkStart w:id="24" w:name="_Toc37243151"/>
      <w:r>
        <w:rPr>
          <w:rFonts w:hint="eastAsia" w:asciiTheme="minorEastAsia" w:hAnsiTheme="minorEastAsia"/>
          <w:b/>
          <w:sz w:val="28"/>
          <w:szCs w:val="28"/>
        </w:rPr>
        <w:t>3.2.</w:t>
      </w:r>
      <w:r>
        <w:rPr>
          <w:rFonts w:asciiTheme="minorEastAsia" w:hAnsiTheme="minorEastAsia"/>
          <w:b/>
          <w:sz w:val="28"/>
          <w:szCs w:val="28"/>
        </w:rPr>
        <w:t>2防渗设计</w:t>
      </w:r>
      <w:bookmarkEnd w:id="24"/>
    </w:p>
    <w:p>
      <w:pPr>
        <w:ind w:firstLine="560" w:firstLineChars="200"/>
        <w:rPr>
          <w:rFonts w:asciiTheme="minorEastAsia" w:hAnsiTheme="minorEastAsia"/>
          <w:sz w:val="28"/>
          <w:szCs w:val="28"/>
        </w:rPr>
      </w:pPr>
      <w:r>
        <w:rPr>
          <w:rFonts w:hint="eastAsia" w:asciiTheme="minorEastAsia" w:hAnsiTheme="minorEastAsia"/>
          <w:sz w:val="28"/>
          <w:szCs w:val="28"/>
        </w:rPr>
        <w:t>原</w:t>
      </w:r>
      <w:r>
        <w:rPr>
          <w:rFonts w:asciiTheme="minorEastAsia" w:hAnsiTheme="minorEastAsia"/>
          <w:sz w:val="28"/>
          <w:szCs w:val="28"/>
        </w:rPr>
        <w:t>设计坝基布置帷幕灌浆孔125个，左岸布置灌浆孔21个，右岸布置灌浆孔22个，总孔数为168个</w:t>
      </w:r>
      <w:r>
        <w:rPr>
          <w:rFonts w:hint="eastAsia" w:asciiTheme="minorEastAsia" w:hAnsiTheme="minorEastAsia"/>
          <w:sz w:val="28"/>
          <w:szCs w:val="28"/>
        </w:rPr>
        <w:t>，</w:t>
      </w:r>
      <w:r>
        <w:rPr>
          <w:rFonts w:asciiTheme="minorEastAsia" w:hAnsiTheme="minorEastAsia"/>
          <w:sz w:val="28"/>
          <w:szCs w:val="28"/>
        </w:rPr>
        <w:t>单排孔</w:t>
      </w:r>
      <w:r>
        <w:rPr>
          <w:rFonts w:asciiTheme="minorEastAsia" w:hAnsiTheme="minorEastAsia"/>
          <w:sz w:val="28"/>
        </w:rPr>
        <w:t>，孔距1.5m。</w:t>
      </w:r>
      <w:r>
        <w:rPr>
          <w:rFonts w:asciiTheme="minorEastAsia" w:hAnsiTheme="minorEastAsia"/>
          <w:sz w:val="28"/>
          <w:szCs w:val="28"/>
        </w:rPr>
        <w:t>根据</w:t>
      </w:r>
      <w:r>
        <w:rPr>
          <w:rFonts w:hint="eastAsia" w:asciiTheme="minorEastAsia" w:hAnsiTheme="minorEastAsia"/>
          <w:sz w:val="28"/>
          <w:szCs w:val="28"/>
        </w:rPr>
        <w:t>梁河县小河头水库工程管理所观测记录，</w:t>
      </w:r>
      <w:r>
        <w:rPr>
          <w:rFonts w:hint="eastAsia" w:cs="Times New Roman" w:asciiTheme="minorEastAsia" w:hAnsiTheme="minorEastAsia"/>
          <w:sz w:val="28"/>
          <w:szCs w:val="28"/>
        </w:rPr>
        <w:t>水库蓄水至高水位时</w:t>
      </w:r>
      <w:r>
        <w:rPr>
          <w:rFonts w:hint="eastAsia" w:asciiTheme="minorEastAsia" w:hAnsiTheme="minorEastAsia"/>
          <w:sz w:val="28"/>
          <w:szCs w:val="28"/>
        </w:rPr>
        <w:t>大坝两坝肩山体出现绕坝渗水，</w:t>
      </w:r>
      <w:r>
        <w:rPr>
          <w:rFonts w:asciiTheme="minorEastAsia" w:hAnsiTheme="minorEastAsia"/>
          <w:sz w:val="28"/>
          <w:szCs w:val="28"/>
        </w:rPr>
        <w:t>本</w:t>
      </w:r>
      <w:r>
        <w:rPr>
          <w:rFonts w:hint="eastAsia" w:asciiTheme="minorEastAsia" w:hAnsiTheme="minorEastAsia"/>
          <w:sz w:val="28"/>
          <w:szCs w:val="28"/>
        </w:rPr>
        <w:t>方案</w:t>
      </w:r>
      <w:r>
        <w:rPr>
          <w:rFonts w:asciiTheme="minorEastAsia" w:hAnsiTheme="minorEastAsia"/>
          <w:sz w:val="28"/>
          <w:szCs w:val="28"/>
        </w:rPr>
        <w:t>在原有的帷幕灌浆线上进行延长</w:t>
      </w:r>
      <w:r>
        <w:rPr>
          <w:rFonts w:hint="eastAsia" w:asciiTheme="minorEastAsia" w:hAnsiTheme="minorEastAsia"/>
          <w:sz w:val="28"/>
          <w:szCs w:val="28"/>
        </w:rPr>
        <w:t>，</w:t>
      </w:r>
      <w:r>
        <w:rPr>
          <w:rFonts w:asciiTheme="minorEastAsia" w:hAnsiTheme="minorEastAsia"/>
          <w:sz w:val="28"/>
          <w:szCs w:val="28"/>
        </w:rPr>
        <w:t>左岸延长</w:t>
      </w:r>
      <w:r>
        <w:rPr>
          <w:rFonts w:hint="eastAsia" w:asciiTheme="minorEastAsia" w:hAnsiTheme="minorEastAsia"/>
          <w:sz w:val="28"/>
          <w:szCs w:val="28"/>
        </w:rPr>
        <w:t>22.5m</w:t>
      </w:r>
      <w:r>
        <w:rPr>
          <w:rFonts w:asciiTheme="minorEastAsia" w:hAnsiTheme="minorEastAsia"/>
          <w:sz w:val="28"/>
          <w:szCs w:val="28"/>
        </w:rPr>
        <w:t>，</w:t>
      </w:r>
      <w:r>
        <w:rPr>
          <w:rFonts w:hint="eastAsia" w:asciiTheme="minorEastAsia" w:hAnsiTheme="minorEastAsia"/>
          <w:sz w:val="28"/>
          <w:szCs w:val="28"/>
        </w:rPr>
        <w:t>右</w:t>
      </w:r>
      <w:r>
        <w:rPr>
          <w:rFonts w:asciiTheme="minorEastAsia" w:hAnsiTheme="minorEastAsia"/>
          <w:sz w:val="28"/>
          <w:szCs w:val="28"/>
        </w:rPr>
        <w:t>岸延长</w:t>
      </w:r>
      <w:r>
        <w:rPr>
          <w:rFonts w:hint="eastAsia" w:asciiTheme="minorEastAsia" w:hAnsiTheme="minorEastAsia"/>
          <w:sz w:val="28"/>
          <w:szCs w:val="28"/>
        </w:rPr>
        <w:t>45m</w:t>
      </w:r>
      <w:r>
        <w:rPr>
          <w:rFonts w:asciiTheme="minorEastAsia" w:hAnsiTheme="minorEastAsia"/>
          <w:sz w:val="28"/>
        </w:rPr>
        <w:t>。</w:t>
      </w:r>
    </w:p>
    <w:p>
      <w:pPr>
        <w:ind w:firstLine="630"/>
        <w:rPr>
          <w:rFonts w:asciiTheme="minorEastAsia" w:hAnsiTheme="minorEastAsia"/>
          <w:sz w:val="28"/>
          <w:szCs w:val="28"/>
        </w:rPr>
      </w:pPr>
      <w:r>
        <w:rPr>
          <w:rFonts w:asciiTheme="minorEastAsia" w:hAnsiTheme="minorEastAsia"/>
          <w:sz w:val="28"/>
          <w:szCs w:val="28"/>
        </w:rPr>
        <w:t>帷幕灌浆范围及深度</w:t>
      </w:r>
    </w:p>
    <w:p>
      <w:pPr>
        <w:ind w:firstLine="560" w:firstLineChars="200"/>
        <w:rPr>
          <w:rFonts w:asciiTheme="minorEastAsia" w:hAnsiTheme="minorEastAsia"/>
          <w:sz w:val="28"/>
          <w:szCs w:val="28"/>
        </w:rPr>
      </w:pPr>
      <w:r>
        <w:rPr>
          <w:rFonts w:asciiTheme="minorEastAsia" w:hAnsiTheme="minorEastAsia"/>
          <w:sz w:val="28"/>
          <w:szCs w:val="28"/>
        </w:rPr>
        <w:t>坝肩帷幕范围及深度：两坝肩地下水位低，相对不透水层与防渗顶界（2006.0m）相交较远，两坝肩帷幕底界伸入相对不透水层5m，左坝肩帷幕底界高程198</w:t>
      </w:r>
      <w:r>
        <w:rPr>
          <w:rFonts w:hint="eastAsia" w:asciiTheme="minorEastAsia" w:hAnsiTheme="minorEastAsia"/>
          <w:sz w:val="28"/>
          <w:szCs w:val="28"/>
        </w:rPr>
        <w:t>7</w:t>
      </w:r>
      <w:r>
        <w:rPr>
          <w:rFonts w:asciiTheme="minorEastAsia" w:hAnsiTheme="minorEastAsia"/>
          <w:sz w:val="28"/>
          <w:szCs w:val="28"/>
        </w:rPr>
        <w:t xml:space="preserve"> m～19</w:t>
      </w:r>
      <w:r>
        <w:rPr>
          <w:rFonts w:hint="eastAsia" w:asciiTheme="minorEastAsia" w:hAnsiTheme="minorEastAsia"/>
          <w:sz w:val="28"/>
          <w:szCs w:val="28"/>
        </w:rPr>
        <w:t>96</w:t>
      </w:r>
      <w:r>
        <w:rPr>
          <w:rFonts w:asciiTheme="minorEastAsia" w:hAnsiTheme="minorEastAsia"/>
          <w:sz w:val="28"/>
          <w:szCs w:val="28"/>
        </w:rPr>
        <w:t>.0m，顶界高程为2006.0m；右坝肩帷幕底界高程19</w:t>
      </w:r>
      <w:r>
        <w:rPr>
          <w:rFonts w:hint="eastAsia" w:asciiTheme="minorEastAsia" w:hAnsiTheme="minorEastAsia"/>
          <w:sz w:val="28"/>
          <w:szCs w:val="28"/>
        </w:rPr>
        <w:t>76</w:t>
      </w:r>
      <w:r>
        <w:rPr>
          <w:rFonts w:asciiTheme="minorEastAsia" w:hAnsiTheme="minorEastAsia"/>
          <w:sz w:val="28"/>
          <w:szCs w:val="28"/>
        </w:rPr>
        <w:t>～19</w:t>
      </w:r>
      <w:r>
        <w:rPr>
          <w:rFonts w:hint="eastAsia" w:asciiTheme="minorEastAsia" w:hAnsiTheme="minorEastAsia"/>
          <w:sz w:val="28"/>
          <w:szCs w:val="28"/>
        </w:rPr>
        <w:t>91</w:t>
      </w:r>
      <w:r>
        <w:rPr>
          <w:rFonts w:asciiTheme="minorEastAsia" w:hAnsiTheme="minorEastAsia"/>
          <w:sz w:val="28"/>
          <w:szCs w:val="28"/>
        </w:rPr>
        <w:t>m，顶界高程为2006.0m。</w:t>
      </w:r>
    </w:p>
    <w:p>
      <w:pPr>
        <w:ind w:firstLine="560" w:firstLineChars="200"/>
        <w:rPr>
          <w:rFonts w:asciiTheme="minorEastAsia" w:hAnsiTheme="minorEastAsia"/>
          <w:sz w:val="28"/>
        </w:rPr>
      </w:pPr>
      <w:r>
        <w:rPr>
          <w:rFonts w:asciiTheme="minorEastAsia" w:hAnsiTheme="minorEastAsia"/>
          <w:sz w:val="28"/>
          <w:szCs w:val="28"/>
        </w:rPr>
        <w:t>帷幕灌浆初拟布置单排孔</w:t>
      </w:r>
      <w:r>
        <w:rPr>
          <w:rFonts w:asciiTheme="minorEastAsia" w:hAnsiTheme="minorEastAsia"/>
          <w:sz w:val="28"/>
        </w:rPr>
        <w:t>，孔距1.5m。</w:t>
      </w:r>
      <w:r>
        <w:rPr>
          <w:rFonts w:hint="eastAsia" w:asciiTheme="minorEastAsia" w:hAnsiTheme="minorEastAsia"/>
          <w:sz w:val="28"/>
        </w:rPr>
        <w:t>左</w:t>
      </w:r>
      <w:r>
        <w:rPr>
          <w:rFonts w:asciiTheme="minorEastAsia" w:hAnsiTheme="minorEastAsia"/>
          <w:sz w:val="28"/>
        </w:rPr>
        <w:t>岸布置灌浆孔</w:t>
      </w:r>
      <w:r>
        <w:rPr>
          <w:rFonts w:hint="eastAsia" w:asciiTheme="minorEastAsia" w:hAnsiTheme="minorEastAsia"/>
          <w:sz w:val="28"/>
        </w:rPr>
        <w:t>15</w:t>
      </w:r>
      <w:r>
        <w:rPr>
          <w:rFonts w:asciiTheme="minorEastAsia" w:hAnsiTheme="minorEastAsia"/>
          <w:sz w:val="28"/>
        </w:rPr>
        <w:t>个，右岸布置灌浆孔</w:t>
      </w:r>
      <w:r>
        <w:rPr>
          <w:rFonts w:hint="eastAsia" w:asciiTheme="minorEastAsia" w:hAnsiTheme="minorEastAsia"/>
          <w:sz w:val="28"/>
        </w:rPr>
        <w:t>30</w:t>
      </w:r>
      <w:r>
        <w:rPr>
          <w:rFonts w:asciiTheme="minorEastAsia" w:hAnsiTheme="minorEastAsia"/>
          <w:sz w:val="28"/>
        </w:rPr>
        <w:t>个，总孔数为45个，帷幕灌浆造孔998.6m，帷幕灌浆675m。</w:t>
      </w:r>
    </w:p>
    <w:p>
      <w:pPr>
        <w:spacing w:line="360" w:lineRule="auto"/>
        <w:ind w:firstLine="570"/>
        <w:rPr>
          <w:rFonts w:asciiTheme="minorEastAsia" w:hAnsiTheme="minorEastAsia"/>
          <w:sz w:val="28"/>
        </w:rPr>
      </w:pPr>
      <w:r>
        <w:rPr>
          <w:rFonts w:asciiTheme="minorEastAsia" w:hAnsiTheme="minorEastAsia"/>
          <w:sz w:val="28"/>
        </w:rPr>
        <w:t>检查孔进尺：</w:t>
      </w:r>
      <w:r>
        <w:rPr>
          <w:rFonts w:hint="eastAsia" w:asciiTheme="minorEastAsia" w:hAnsiTheme="minorEastAsia"/>
          <w:sz w:val="28"/>
        </w:rPr>
        <w:t>106</w:t>
      </w:r>
      <w:r>
        <w:rPr>
          <w:rFonts w:asciiTheme="minorEastAsia" w:hAnsiTheme="minorEastAsia"/>
          <w:sz w:val="28"/>
        </w:rPr>
        <w:t>m，压水试验段</w:t>
      </w:r>
      <w:r>
        <w:rPr>
          <w:rFonts w:hint="eastAsia" w:asciiTheme="minorEastAsia" w:hAnsiTheme="minorEastAsia"/>
          <w:sz w:val="28"/>
        </w:rPr>
        <w:t>16</w:t>
      </w:r>
      <w:r>
        <w:rPr>
          <w:rFonts w:asciiTheme="minorEastAsia" w:hAnsiTheme="minorEastAsia"/>
          <w:sz w:val="28"/>
        </w:rPr>
        <w:t>段次。</w:t>
      </w:r>
    </w:p>
    <w:p>
      <w:pPr>
        <w:ind w:firstLine="630"/>
        <w:rPr>
          <w:rFonts w:asciiTheme="minorEastAsia" w:hAnsiTheme="minorEastAsia"/>
          <w:sz w:val="28"/>
        </w:rPr>
      </w:pPr>
      <w:r>
        <w:rPr>
          <w:rFonts w:asciiTheme="minorEastAsia" w:hAnsiTheme="minorEastAsia"/>
          <w:sz w:val="28"/>
          <w:szCs w:val="28"/>
        </w:rPr>
        <w:t>灌浆方法和灌浆方式</w:t>
      </w:r>
    </w:p>
    <w:p>
      <w:pPr>
        <w:spacing w:line="360" w:lineRule="auto"/>
        <w:ind w:firstLine="570"/>
        <w:rPr>
          <w:rFonts w:cs="Times New Roman" w:asciiTheme="minorEastAsia" w:hAnsiTheme="minorEastAsia"/>
          <w:sz w:val="28"/>
          <w:szCs w:val="28"/>
        </w:rPr>
      </w:pPr>
      <w:r>
        <w:rPr>
          <w:rFonts w:asciiTheme="minorEastAsia" w:hAnsiTheme="minorEastAsia"/>
          <w:sz w:val="28"/>
        </w:rPr>
        <w:t>灌浆方法采用自上而下分段灌浆法，灌浆方式采用循环式。决定灌浆段长度第一段为1.5m，第二段为2～3m，第三段以下为5m，终孔段长不得超过6m。灌浆压力、浆液水灰比及其单位注入量由试验决定。</w:t>
      </w:r>
      <w:r>
        <w:rPr>
          <w:sz w:val="28"/>
        </w:rPr>
        <w:t>钻机钻孔，混凝土搅拌机制备浆液，灌浆泵灌浆，压力水清孔，经检查合格后方可进行帷幕灌浆，帷幕灌浆按分序逐渐加密，自上而下分段灌浆的方法进行，</w:t>
      </w:r>
      <w:r>
        <w:rPr>
          <w:sz w:val="28"/>
          <w:szCs w:val="28"/>
        </w:rPr>
        <w:t>单孔试验器进行五点法压水试验。</w:t>
      </w:r>
    </w:p>
    <w:p>
      <w:pPr>
        <w:pStyle w:val="2"/>
        <w:numPr>
          <w:ilvl w:val="0"/>
          <w:numId w:val="0"/>
        </w:numPr>
        <w:spacing w:before="124" w:after="62"/>
        <w:jc w:val="center"/>
      </w:pPr>
      <w:r>
        <w:rPr>
          <w:b/>
          <w:sz w:val="28"/>
          <w:szCs w:val="28"/>
        </w:rPr>
        <w:br w:type="page"/>
      </w:r>
      <w:bookmarkStart w:id="25" w:name="_Toc37243152"/>
      <w:r>
        <w:rPr>
          <w:rFonts w:hint="eastAsia"/>
          <w:sz w:val="36"/>
          <w:szCs w:val="36"/>
        </w:rPr>
        <w:t>4、投资概算</w:t>
      </w:r>
      <w:bookmarkEnd w:id="25"/>
    </w:p>
    <w:p>
      <w:pPr>
        <w:spacing w:line="360" w:lineRule="auto"/>
        <w:outlineLvl w:val="1"/>
        <w:rPr>
          <w:rFonts w:asciiTheme="minorEastAsia" w:hAnsiTheme="minorEastAsia"/>
          <w:b/>
          <w:sz w:val="28"/>
          <w:szCs w:val="28"/>
        </w:rPr>
      </w:pPr>
      <w:bookmarkStart w:id="26" w:name="_Toc37243153"/>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1</w:t>
      </w:r>
      <w:r>
        <w:rPr>
          <w:rFonts w:asciiTheme="minorEastAsia" w:hAnsiTheme="minorEastAsia"/>
          <w:b/>
          <w:sz w:val="28"/>
          <w:szCs w:val="28"/>
        </w:rPr>
        <w:t>投资主要指标</w:t>
      </w:r>
      <w:bookmarkEnd w:id="26"/>
    </w:p>
    <w:p>
      <w:pPr>
        <w:spacing w:line="360" w:lineRule="auto"/>
        <w:ind w:firstLine="532" w:firstLineChars="190"/>
        <w:rPr>
          <w:sz w:val="28"/>
          <w:szCs w:val="28"/>
        </w:rPr>
      </w:pPr>
      <w:bookmarkStart w:id="27" w:name="_Toc238716294"/>
      <w:r>
        <w:rPr>
          <w:rFonts w:hAnsi="宋体"/>
          <w:bCs/>
          <w:sz w:val="28"/>
        </w:rPr>
        <w:t>小河头水库</w:t>
      </w:r>
      <w:r>
        <w:rPr>
          <w:rFonts w:hint="eastAsia" w:ascii="仿宋_GB2312" w:hAnsi="宋体" w:eastAsia="仿宋_GB2312" w:cs="Times New Roman"/>
          <w:sz w:val="28"/>
          <w:szCs w:val="28"/>
        </w:rPr>
        <w:t>管理维护加固</w:t>
      </w:r>
      <w:r>
        <w:rPr>
          <w:sz w:val="28"/>
          <w:szCs w:val="28"/>
        </w:rPr>
        <w:t>工程部分总投资为</w:t>
      </w:r>
      <w:r>
        <w:rPr>
          <w:rFonts w:hint="eastAsia"/>
          <w:sz w:val="28"/>
          <w:szCs w:val="28"/>
        </w:rPr>
        <w:t>57.75</w:t>
      </w:r>
      <w:r>
        <w:rPr>
          <w:sz w:val="28"/>
          <w:szCs w:val="28"/>
        </w:rPr>
        <w:t>万元，投资构成：建筑工程</w:t>
      </w:r>
      <w:r>
        <w:rPr>
          <w:rFonts w:hint="eastAsia"/>
          <w:sz w:val="28"/>
          <w:szCs w:val="28"/>
        </w:rPr>
        <w:t>57.18</w:t>
      </w:r>
      <w:r>
        <w:rPr>
          <w:sz w:val="28"/>
          <w:szCs w:val="28"/>
        </w:rPr>
        <w:t>万元、</w:t>
      </w:r>
      <w:r>
        <w:rPr>
          <w:color w:val="FF0000"/>
          <w:sz w:val="28"/>
          <w:szCs w:val="28"/>
        </w:rPr>
        <w:t>独立费用</w:t>
      </w:r>
      <w:r>
        <w:rPr>
          <w:rFonts w:hint="eastAsia"/>
          <w:color w:val="FF0000"/>
          <w:sz w:val="28"/>
          <w:szCs w:val="28"/>
        </w:rPr>
        <w:t>0.57</w:t>
      </w:r>
      <w:r>
        <w:rPr>
          <w:color w:val="FF0000"/>
          <w:sz w:val="28"/>
          <w:szCs w:val="28"/>
        </w:rPr>
        <w:t>万元。</w:t>
      </w:r>
    </w:p>
    <w:p>
      <w:pPr>
        <w:spacing w:line="360" w:lineRule="auto"/>
        <w:outlineLvl w:val="1"/>
        <w:rPr>
          <w:rFonts w:asciiTheme="minorEastAsia" w:hAnsiTheme="minorEastAsia"/>
          <w:b/>
          <w:sz w:val="28"/>
          <w:szCs w:val="28"/>
        </w:rPr>
      </w:pPr>
      <w:bookmarkStart w:id="28" w:name="_Toc37243154"/>
      <w:r>
        <w:rPr>
          <w:rFonts w:asciiTheme="minorEastAsia" w:hAnsiTheme="minorEastAsia"/>
          <w:b/>
          <w:sz w:val="28"/>
          <w:szCs w:val="28"/>
        </w:rPr>
        <w:t>4.2工程投资</w:t>
      </w:r>
      <w:bookmarkEnd w:id="28"/>
    </w:p>
    <w:p>
      <w:pPr>
        <w:spacing w:line="360" w:lineRule="auto"/>
        <w:outlineLvl w:val="1"/>
        <w:rPr>
          <w:rFonts w:asciiTheme="minorEastAsia" w:hAnsiTheme="minorEastAsia"/>
          <w:b/>
          <w:sz w:val="28"/>
          <w:szCs w:val="28"/>
        </w:rPr>
      </w:pPr>
      <w:bookmarkStart w:id="29" w:name="_Toc37243155"/>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2</w:t>
      </w:r>
      <w:r>
        <w:rPr>
          <w:rFonts w:asciiTheme="minorEastAsia" w:hAnsiTheme="minorEastAsia"/>
          <w:b/>
          <w:sz w:val="28"/>
          <w:szCs w:val="28"/>
        </w:rPr>
        <w:t>.1编制依据</w:t>
      </w:r>
      <w:bookmarkEnd w:id="27"/>
      <w:bookmarkEnd w:id="29"/>
    </w:p>
    <w:p>
      <w:pPr>
        <w:spacing w:line="360" w:lineRule="auto"/>
        <w:ind w:firstLine="532" w:firstLineChars="190"/>
        <w:rPr>
          <w:sz w:val="28"/>
          <w:szCs w:val="28"/>
        </w:rPr>
      </w:pPr>
      <w:r>
        <w:rPr>
          <w:sz w:val="28"/>
          <w:szCs w:val="28"/>
        </w:rPr>
        <w:t>1. 云南省水利厅 云南省发展和改革委员会关于印发《云南省水利工程营业税改征增值税计价依据调整办法》的通知（云水规计[2016] 171 号）；</w:t>
      </w:r>
    </w:p>
    <w:p>
      <w:pPr>
        <w:spacing w:line="360" w:lineRule="auto"/>
        <w:ind w:firstLine="532" w:firstLineChars="190"/>
        <w:rPr>
          <w:sz w:val="28"/>
          <w:szCs w:val="28"/>
        </w:rPr>
      </w:pPr>
      <w:r>
        <w:rPr>
          <w:sz w:val="28"/>
          <w:szCs w:val="28"/>
        </w:rPr>
        <w:t>2. 水利部关于发布《水利工程设计概（估）算编制规定》的通知（水总[2014]429 号）--工程部分和建设征地移民补偿部分；</w:t>
      </w:r>
    </w:p>
    <w:p>
      <w:pPr>
        <w:spacing w:line="360" w:lineRule="auto"/>
        <w:ind w:firstLine="532" w:firstLineChars="190"/>
        <w:rPr>
          <w:sz w:val="28"/>
          <w:szCs w:val="28"/>
        </w:rPr>
      </w:pPr>
      <w:r>
        <w:rPr>
          <w:sz w:val="28"/>
          <w:szCs w:val="28"/>
        </w:rPr>
        <w:t>3. 《云南省水利厅</w:t>
      </w:r>
      <w:r>
        <w:rPr>
          <w:sz w:val="28"/>
          <w:szCs w:val="28"/>
        </w:rPr>
        <w:tab/>
      </w:r>
      <w:r>
        <w:rPr>
          <w:sz w:val="28"/>
          <w:szCs w:val="28"/>
        </w:rPr>
        <w:t>云南省发改委关于调整云南省水利厅工程造价计价依据中有关税率及系数的通知》（云水规计[2018] 103 号）；</w:t>
      </w:r>
    </w:p>
    <w:p>
      <w:pPr>
        <w:spacing w:line="360" w:lineRule="auto"/>
        <w:ind w:firstLine="532" w:firstLineChars="190"/>
        <w:rPr>
          <w:sz w:val="28"/>
          <w:szCs w:val="28"/>
        </w:rPr>
      </w:pPr>
      <w:r>
        <w:rPr>
          <w:sz w:val="28"/>
          <w:szCs w:val="28"/>
        </w:rPr>
        <w:t>4. 水利部水总[2002]116 号文颁发的《水利建筑工程概算定额》、《水 利工程施工机械台时费定额》；水利部水总[2005]389 号文颁发的《水利工 程概预算补充定额》；水利部水建管[1999]523 号文颁发的《水利水电设备</w:t>
      </w:r>
      <w:r>
        <w:rPr>
          <w:rFonts w:hint="eastAsia"/>
          <w:sz w:val="28"/>
          <w:szCs w:val="28"/>
        </w:rPr>
        <w:t xml:space="preserve"> </w:t>
      </w:r>
      <w:r>
        <w:rPr>
          <w:sz w:val="28"/>
          <w:szCs w:val="28"/>
        </w:rPr>
        <w:t>安装工程概算定额》。</w:t>
      </w:r>
    </w:p>
    <w:p>
      <w:pPr>
        <w:spacing w:line="360" w:lineRule="auto"/>
        <w:ind w:firstLine="532" w:firstLineChars="190"/>
        <w:rPr>
          <w:sz w:val="28"/>
          <w:szCs w:val="28"/>
        </w:rPr>
      </w:pPr>
      <w:r>
        <w:rPr>
          <w:sz w:val="28"/>
          <w:szCs w:val="28"/>
        </w:rPr>
        <w:t>5.云南省水利厅云南省发展和改革委员会关于印发《关于调整云南 省水利工程造价计价依据有关税率及系数》的通知，云水规计【2018】 103 号文。</w:t>
      </w:r>
    </w:p>
    <w:p>
      <w:pPr>
        <w:spacing w:line="360" w:lineRule="auto"/>
        <w:ind w:firstLine="532" w:firstLineChars="190"/>
        <w:rPr>
          <w:sz w:val="28"/>
          <w:szCs w:val="28"/>
        </w:rPr>
      </w:pPr>
      <w:r>
        <w:rPr>
          <w:sz w:val="28"/>
          <w:szCs w:val="28"/>
        </w:rPr>
        <w:t>6. 其他相关文件，本工程设计资料、现场调查资料。</w:t>
      </w:r>
    </w:p>
    <w:p>
      <w:pPr>
        <w:spacing w:line="360" w:lineRule="auto"/>
        <w:ind w:firstLine="532" w:firstLineChars="190"/>
        <w:rPr>
          <w:rFonts w:asciiTheme="minorEastAsia" w:hAnsiTheme="minorEastAsia"/>
          <w:b/>
          <w:bCs/>
          <w:kern w:val="0"/>
          <w:szCs w:val="21"/>
        </w:rPr>
      </w:pPr>
      <w:r>
        <w:rPr>
          <w:sz w:val="28"/>
          <w:szCs w:val="28"/>
        </w:rPr>
        <w:t>7. 概算编制物价水平年按 20</w:t>
      </w:r>
      <w:r>
        <w:rPr>
          <w:rFonts w:hint="eastAsia"/>
          <w:sz w:val="28"/>
          <w:szCs w:val="28"/>
        </w:rPr>
        <w:t>20</w:t>
      </w:r>
      <w:r>
        <w:rPr>
          <w:sz w:val="28"/>
          <w:szCs w:val="28"/>
        </w:rPr>
        <w:t xml:space="preserve"> 年</w:t>
      </w:r>
      <w:r>
        <w:rPr>
          <w:rFonts w:hint="eastAsia"/>
          <w:sz w:val="28"/>
          <w:szCs w:val="28"/>
        </w:rPr>
        <w:t>一季度</w:t>
      </w:r>
      <w:r>
        <w:rPr>
          <w:sz w:val="28"/>
          <w:szCs w:val="28"/>
        </w:rPr>
        <w:t>的《云南德宏建筑经济信息》 的价格水平结合项目区实际进行编制。</w:t>
      </w:r>
      <w:r>
        <w:rPr>
          <w:rFonts w:hint="eastAsia" w:hAnsi="宋体"/>
          <w:b/>
          <w:bCs/>
          <w:kern w:val="0"/>
          <w:sz w:val="28"/>
          <w:szCs w:val="28"/>
        </w:rPr>
        <w:t xml:space="preserve">      </w:t>
      </w:r>
      <w:r>
        <w:rPr>
          <w:rFonts w:hint="eastAsia" w:asciiTheme="minorEastAsia" w:hAnsiTheme="minorEastAsia"/>
          <w:b/>
          <w:bCs/>
          <w:kern w:val="0"/>
          <w:szCs w:val="21"/>
        </w:rPr>
        <w:t xml:space="preserve">     </w:t>
      </w:r>
    </w:p>
    <w:p>
      <w:pPr>
        <w:spacing w:line="360" w:lineRule="auto"/>
        <w:outlineLvl w:val="1"/>
        <w:rPr>
          <w:rFonts w:asciiTheme="minorEastAsia" w:hAnsiTheme="minorEastAsia"/>
          <w:b/>
          <w:sz w:val="28"/>
          <w:szCs w:val="28"/>
        </w:rPr>
      </w:pPr>
      <w:r>
        <w:rPr>
          <w:rFonts w:hint="eastAsia" w:asciiTheme="minorEastAsia" w:hAnsiTheme="minorEastAsia"/>
          <w:b/>
          <w:bCs/>
          <w:kern w:val="0"/>
          <w:szCs w:val="21"/>
        </w:rPr>
        <w:t xml:space="preserve"> </w:t>
      </w:r>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2</w:t>
      </w:r>
      <w:r>
        <w:rPr>
          <w:rFonts w:asciiTheme="minorEastAsia" w:hAnsiTheme="minorEastAsia"/>
          <w:b/>
          <w:sz w:val="28"/>
          <w:szCs w:val="28"/>
        </w:rPr>
        <w:t>.</w:t>
      </w:r>
      <w:r>
        <w:rPr>
          <w:rFonts w:hint="eastAsia" w:asciiTheme="minorEastAsia" w:hAnsiTheme="minorEastAsia"/>
          <w:b/>
          <w:sz w:val="28"/>
          <w:szCs w:val="28"/>
        </w:rPr>
        <w:t>2概算</w:t>
      </w:r>
      <w:r>
        <w:rPr>
          <w:rFonts w:asciiTheme="minorEastAsia" w:hAnsiTheme="minorEastAsia"/>
          <w:b/>
          <w:sz w:val="28"/>
          <w:szCs w:val="28"/>
        </w:rPr>
        <w:t>表</w:t>
      </w:r>
    </w:p>
    <w:p>
      <w:pPr>
        <w:jc w:val="center"/>
        <w:rPr>
          <w:rFonts w:asciiTheme="minorEastAsia" w:hAnsiTheme="minorEastAsia"/>
          <w:b/>
          <w:bCs/>
          <w:kern w:val="0"/>
          <w:szCs w:val="21"/>
        </w:rPr>
      </w:pPr>
    </w:p>
    <w:p>
      <w:pPr>
        <w:jc w:val="center"/>
        <w:rPr>
          <w:rFonts w:asciiTheme="minorEastAsia" w:hAnsiTheme="minorEastAsia"/>
          <w:kern w:val="0"/>
          <w:sz w:val="28"/>
          <w:szCs w:val="28"/>
        </w:rPr>
      </w:pPr>
      <w:r>
        <w:rPr>
          <w:rFonts w:hint="eastAsia" w:asciiTheme="minorEastAsia" w:hAnsiTheme="minorEastAsia"/>
          <w:b/>
          <w:bCs/>
          <w:kern w:val="0"/>
          <w:szCs w:val="21"/>
        </w:rPr>
        <w:t xml:space="preserve"> </w:t>
      </w:r>
      <w:r>
        <w:rPr>
          <w:rFonts w:asciiTheme="minorEastAsia" w:hAnsiTheme="minorEastAsia"/>
          <w:b/>
          <w:bCs/>
          <w:kern w:val="0"/>
          <w:sz w:val="28"/>
          <w:szCs w:val="28"/>
        </w:rPr>
        <w:t>总概算表</w:t>
      </w:r>
      <w:r>
        <w:rPr>
          <w:rFonts w:hint="eastAsia" w:asciiTheme="minorEastAsia" w:hAnsiTheme="minorEastAsia"/>
          <w:b/>
          <w:bCs/>
          <w:kern w:val="0"/>
          <w:sz w:val="28"/>
          <w:szCs w:val="28"/>
        </w:rPr>
        <w:t xml:space="preserve">               </w:t>
      </w:r>
      <w:r>
        <w:rPr>
          <w:rFonts w:asciiTheme="minorEastAsia" w:hAnsiTheme="minorEastAsia"/>
          <w:kern w:val="0"/>
          <w:sz w:val="28"/>
          <w:szCs w:val="28"/>
        </w:rPr>
        <w:t>单位：万元</w:t>
      </w:r>
    </w:p>
    <w:tbl>
      <w:tblPr>
        <w:tblStyle w:val="28"/>
        <w:tblW w:w="8260" w:type="dxa"/>
        <w:jc w:val="center"/>
        <w:tblInd w:w="93" w:type="dxa"/>
        <w:tblLayout w:type="fixed"/>
        <w:tblCellMar>
          <w:top w:w="0" w:type="dxa"/>
          <w:left w:w="108" w:type="dxa"/>
          <w:bottom w:w="0" w:type="dxa"/>
          <w:right w:w="108" w:type="dxa"/>
        </w:tblCellMar>
      </w:tblPr>
      <w:tblGrid>
        <w:gridCol w:w="960"/>
        <w:gridCol w:w="2380"/>
        <w:gridCol w:w="960"/>
        <w:gridCol w:w="1056"/>
        <w:gridCol w:w="1260"/>
        <w:gridCol w:w="1644"/>
      </w:tblGrid>
      <w:tr>
        <w:tblPrEx>
          <w:tblLayout w:type="fixed"/>
          <w:tblCellMar>
            <w:top w:w="0" w:type="dxa"/>
            <w:left w:w="108" w:type="dxa"/>
            <w:bottom w:w="0" w:type="dxa"/>
            <w:right w:w="108" w:type="dxa"/>
          </w:tblCellMar>
        </w:tblPrEx>
        <w:trPr>
          <w:trHeight w:val="399"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工程或费用名称</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单价（元）</w:t>
            </w:r>
          </w:p>
        </w:tc>
        <w:tc>
          <w:tcPr>
            <w:tcW w:w="16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合计（元）</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第一部分  建筑工程</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571785.48</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隧洞启闭机房</w:t>
            </w:r>
          </w:p>
        </w:tc>
        <w:tc>
          <w:tcPr>
            <w:tcW w:w="96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5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67660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拆除砖墙及围栏</w:t>
            </w:r>
          </w:p>
        </w:tc>
        <w:tc>
          <w:tcPr>
            <w:tcW w:w="96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3000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3000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砖墙砌筑</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19000</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28500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C20混凝土板及楼梯</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r>
              <w:rPr>
                <w:rFonts w:hint="eastAsia" w:ascii="宋体" w:hAnsi="宋体" w:eastAsia="宋体" w:cs="宋体"/>
                <w:color w:val="000000"/>
                <w:kern w:val="0"/>
                <w:szCs w:val="21"/>
                <w:vertAlign w:val="superscript"/>
              </w:rPr>
              <w:t>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800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7200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C15混凝土地坪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r>
              <w:rPr>
                <w:rFonts w:hint="eastAsia" w:ascii="宋体" w:hAnsi="宋体" w:eastAsia="宋体" w:cs="宋体"/>
                <w:color w:val="000000"/>
                <w:kern w:val="0"/>
                <w:szCs w:val="21"/>
                <w:vertAlign w:val="superscript"/>
              </w:rPr>
              <w:t>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600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r>
              <w:rPr>
                <w:rFonts w:hint="eastAsia" w:ascii="宋体" w:hAnsi="宋体" w:eastAsia="宋体" w:cs="宋体"/>
                <w:color w:val="000000"/>
                <w:kern w:val="0"/>
                <w:szCs w:val="21"/>
                <w:vertAlign w:val="superscript"/>
              </w:rPr>
              <w:t>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18</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180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3240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扶手及栏杆</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180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720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门</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r>
              <w:rPr>
                <w:rFonts w:hint="eastAsia" w:ascii="宋体" w:hAnsi="宋体" w:eastAsia="宋体" w:cs="宋体"/>
                <w:color w:val="000000"/>
                <w:kern w:val="0"/>
                <w:szCs w:val="21"/>
                <w:vertAlign w:val="superscript"/>
              </w:rPr>
              <w:t>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300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4200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2000</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2000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墙体粉刷</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r>
              <w:rPr>
                <w:rFonts w:hint="eastAsia" w:ascii="宋体" w:hAnsi="宋体" w:eastAsia="宋体" w:cs="宋体"/>
                <w:color w:val="000000"/>
                <w:kern w:val="0"/>
                <w:szCs w:val="21"/>
                <w:vertAlign w:val="superscript"/>
              </w:rPr>
              <w:t>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280</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65</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18200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坝肩防渗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504125.48</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灌浆造孔</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基础</w:t>
            </w:r>
            <w:r>
              <w:rPr>
                <w:rFonts w:ascii="Times New Roman" w:hAnsi="Times New Roman" w:eastAsia="宋体" w:cs="Times New Roman"/>
                <w:color w:val="000000"/>
                <w:kern w:val="0"/>
                <w:szCs w:val="21"/>
              </w:rPr>
              <w:t>)</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175.91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998.6</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175663.73</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帷幕灌浆</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486.61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675</w:t>
            </w:r>
          </w:p>
        </w:tc>
        <w:tc>
          <w:tcPr>
            <w:tcW w:w="1644"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328461.75</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第二部分  独立费用</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b/>
                <w:bCs/>
                <w:color w:val="000000"/>
                <w:szCs w:val="21"/>
              </w:rPr>
            </w:pPr>
            <w:r>
              <w:rPr>
                <w:rFonts w:hint="eastAsia" w:asciiTheme="minorEastAsia" w:hAnsiTheme="minorEastAsia"/>
                <w:b/>
                <w:bCs/>
                <w:color w:val="000000"/>
                <w:szCs w:val="21"/>
              </w:rPr>
              <w:t>5717.85</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建设管理费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571785.5</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1.00%</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5717.85</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工程建设监理费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科研勘测设计费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建设及施工场地征用费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一至二部分合计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b/>
                <w:bCs/>
                <w:color w:val="000000"/>
                <w:szCs w:val="21"/>
              </w:rPr>
            </w:pPr>
            <w:r>
              <w:rPr>
                <w:rFonts w:hint="eastAsia" w:asciiTheme="minorEastAsia" w:hAnsiTheme="minorEastAsia"/>
                <w:b/>
                <w:bCs/>
                <w:color w:val="000000"/>
                <w:szCs w:val="21"/>
              </w:rPr>
              <w:t>577503.33</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基本预备费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3.00%</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静态总投资</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价差预备费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0</w:t>
            </w:r>
          </w:p>
        </w:tc>
      </w:tr>
      <w:tr>
        <w:tblPrEx>
          <w:tblLayout w:type="fixed"/>
          <w:tblCellMar>
            <w:top w:w="0" w:type="dxa"/>
            <w:left w:w="108" w:type="dxa"/>
            <w:bottom w:w="0" w:type="dxa"/>
            <w:right w:w="108" w:type="dxa"/>
          </w:tblCellMar>
        </w:tblPrEx>
        <w:trPr>
          <w:trHeight w:val="399"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建设期融资利息</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color w:val="000000"/>
                <w:szCs w:val="21"/>
              </w:rPr>
            </w:pPr>
            <w:r>
              <w:rPr>
                <w:rFonts w:hint="eastAsia" w:asciiTheme="minorEastAsia" w:hAnsiTheme="minorEastAsia"/>
                <w:color w:val="000000"/>
                <w:szCs w:val="21"/>
              </w:rPr>
              <w:t>0</w:t>
            </w:r>
          </w:p>
        </w:tc>
      </w:tr>
      <w:tr>
        <w:tblPrEx>
          <w:tblLayout w:type="fixed"/>
          <w:tblCellMar>
            <w:top w:w="0" w:type="dxa"/>
            <w:left w:w="108" w:type="dxa"/>
            <w:bottom w:w="0" w:type="dxa"/>
            <w:right w:w="108" w:type="dxa"/>
          </w:tblCellMar>
        </w:tblPrEx>
        <w:trPr>
          <w:trHeight w:val="399" w:hRule="atLeast"/>
          <w:jc w:val="center"/>
        </w:trPr>
        <w:tc>
          <w:tcPr>
            <w:tcW w:w="3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投资总计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w:t>
            </w:r>
          </w:p>
        </w:tc>
        <w:tc>
          <w:tcPr>
            <w:tcW w:w="164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577503.33</w:t>
            </w:r>
          </w:p>
        </w:tc>
      </w:tr>
    </w:tbl>
    <w:p>
      <w:pPr>
        <w:jc w:val="center"/>
        <w:rPr>
          <w:rFonts w:asciiTheme="minorEastAsia" w:hAnsiTheme="minorEastAsia"/>
          <w:kern w:val="0"/>
          <w:sz w:val="28"/>
          <w:szCs w:val="28"/>
        </w:rPr>
      </w:pPr>
    </w:p>
    <w:p>
      <w:pPr>
        <w:jc w:val="center"/>
        <w:rPr>
          <w:rFonts w:asciiTheme="minorEastAsia" w:hAnsiTheme="minorEastAsia"/>
          <w:kern w:val="0"/>
          <w:sz w:val="28"/>
          <w:szCs w:val="28"/>
        </w:rPr>
      </w:pPr>
    </w:p>
    <w:tbl>
      <w:tblPr>
        <w:tblStyle w:val="28"/>
        <w:tblW w:w="8566" w:type="dxa"/>
        <w:tblInd w:w="95" w:type="dxa"/>
        <w:tblLayout w:type="fixed"/>
        <w:tblCellMar>
          <w:top w:w="0" w:type="dxa"/>
          <w:left w:w="108" w:type="dxa"/>
          <w:bottom w:w="0" w:type="dxa"/>
          <w:right w:w="108" w:type="dxa"/>
        </w:tblCellMar>
      </w:tblPr>
      <w:tblGrid>
        <w:gridCol w:w="830"/>
        <w:gridCol w:w="355"/>
        <w:gridCol w:w="2725"/>
        <w:gridCol w:w="1206"/>
        <w:gridCol w:w="1224"/>
        <w:gridCol w:w="187"/>
        <w:gridCol w:w="835"/>
        <w:gridCol w:w="428"/>
        <w:gridCol w:w="776"/>
      </w:tblGrid>
      <w:tr>
        <w:tblPrEx>
          <w:tblLayout w:type="fixed"/>
          <w:tblCellMar>
            <w:top w:w="0" w:type="dxa"/>
            <w:left w:w="108" w:type="dxa"/>
            <w:bottom w:w="0" w:type="dxa"/>
            <w:right w:w="108" w:type="dxa"/>
          </w:tblCellMar>
        </w:tblPrEx>
        <w:trPr>
          <w:trHeight w:val="480" w:hRule="atLeast"/>
        </w:trPr>
        <w:tc>
          <w:tcPr>
            <w:tcW w:w="8566" w:type="dxa"/>
            <w:gridSpan w:val="9"/>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32"/>
                <w:szCs w:val="32"/>
              </w:rPr>
            </w:pPr>
            <w:r>
              <w:rPr>
                <w:rFonts w:hint="eastAsia" w:ascii="宋体" w:hAnsi="宋体" w:eastAsia="宋体" w:cs="宋体"/>
                <w:b/>
                <w:bCs/>
                <w:kern w:val="0"/>
                <w:sz w:val="28"/>
                <w:szCs w:val="28"/>
              </w:rPr>
              <w:t>单  价  分  析  表</w:t>
            </w:r>
          </w:p>
        </w:tc>
      </w:tr>
      <w:tr>
        <w:tblPrEx>
          <w:tblLayout w:type="fixed"/>
          <w:tblCellMar>
            <w:top w:w="0" w:type="dxa"/>
            <w:left w:w="108" w:type="dxa"/>
            <w:bottom w:w="0" w:type="dxa"/>
            <w:right w:w="108" w:type="dxa"/>
          </w:tblCellMar>
        </w:tblPrEx>
        <w:trPr>
          <w:trHeight w:val="312" w:hRule="atLeast"/>
        </w:trPr>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单价编号</w:t>
            </w:r>
          </w:p>
        </w:tc>
        <w:tc>
          <w:tcPr>
            <w:tcW w:w="2725"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p>
        </w:tc>
        <w:tc>
          <w:tcPr>
            <w:tcW w:w="120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项目名称</w:t>
            </w:r>
          </w:p>
        </w:tc>
        <w:tc>
          <w:tcPr>
            <w:tcW w:w="345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灌浆造孔（基础）</w:t>
            </w:r>
          </w:p>
        </w:tc>
      </w:tr>
      <w:tr>
        <w:tblPrEx>
          <w:tblLayout w:type="fixed"/>
          <w:tblCellMar>
            <w:top w:w="0" w:type="dxa"/>
            <w:left w:w="108" w:type="dxa"/>
            <w:bottom w:w="0" w:type="dxa"/>
            <w:right w:w="108" w:type="dxa"/>
          </w:tblCellMar>
        </w:tblPrEx>
        <w:trPr>
          <w:trHeight w:val="312" w:hRule="atLeast"/>
        </w:trPr>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定额编号</w:t>
            </w:r>
          </w:p>
        </w:tc>
        <w:tc>
          <w:tcPr>
            <w:tcW w:w="534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70005</w:t>
            </w:r>
          </w:p>
        </w:tc>
        <w:tc>
          <w:tcPr>
            <w:tcW w:w="126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定额单位</w:t>
            </w:r>
          </w:p>
        </w:tc>
        <w:tc>
          <w:tcPr>
            <w:tcW w:w="77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100m</w:t>
            </w:r>
          </w:p>
        </w:tc>
      </w:tr>
      <w:tr>
        <w:tblPrEx>
          <w:tblLayout w:type="fixed"/>
          <w:tblCellMar>
            <w:top w:w="0" w:type="dxa"/>
            <w:left w:w="108" w:type="dxa"/>
            <w:bottom w:w="0" w:type="dxa"/>
            <w:right w:w="108" w:type="dxa"/>
          </w:tblCellMar>
        </w:tblPrEx>
        <w:trPr>
          <w:trHeight w:val="383" w:hRule="atLeast"/>
        </w:trPr>
        <w:tc>
          <w:tcPr>
            <w:tcW w:w="118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381" w:type="dxa"/>
            <w:gridSpan w:val="7"/>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29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编 号</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名称及规格</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c>
          <w:tcPr>
            <w:tcW w:w="12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数量</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单价（元）</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合计（元）</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直接费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13649.36</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基本直接费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12756.41</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人工费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3949.95</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工长</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24.000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11.98</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287.52</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高级工</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48.000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11.09</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532.32</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中级工</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167.000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9.33</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1558.11</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初级工</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240.000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6.55</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1572.00</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材料费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2160.59</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合金钻头风钻凿岩φ32-38mm</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个</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9.500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38.83</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368.89</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合金片</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kg</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0.700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320.39</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224.27</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岩芯管</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3.800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87.38</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332.04</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钻杆</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77.67</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271.85</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钻杆接头</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个</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3.700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58.25</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215.53</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水</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m³</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750.000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0.60</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450.00</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其他材料费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16.000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1862.58</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298.01</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机械使用费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6645.87</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地质钻机 150型</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台时</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137.000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46.20</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6329.40</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其他机械费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6329.40</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316.47</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(二)</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其他直接费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12756.41</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892.95</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二</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间接费</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10.500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13649.36</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1433.18</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三</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利润</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15082.54</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1055.78</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四</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材料补差</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五</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税金</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9.000</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16138.32</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1452.45</w:t>
            </w:r>
          </w:p>
        </w:tc>
      </w:tr>
      <w:tr>
        <w:tblPrEx>
          <w:tblLayout w:type="fixed"/>
          <w:tblCellMar>
            <w:top w:w="0" w:type="dxa"/>
            <w:left w:w="108" w:type="dxa"/>
            <w:bottom w:w="0" w:type="dxa"/>
            <w:right w:w="108" w:type="dxa"/>
          </w:tblCellMar>
        </w:tblPrEx>
        <w:trPr>
          <w:trHeight w:val="327"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0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2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2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2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0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17590.77</w:t>
            </w:r>
          </w:p>
        </w:tc>
      </w:tr>
    </w:tbl>
    <w:p/>
    <w:p>
      <w:pPr>
        <w:widowControl/>
        <w:jc w:val="left"/>
      </w:pPr>
      <w:r>
        <w:br w:type="page"/>
      </w:r>
    </w:p>
    <w:p>
      <w:pPr>
        <w:widowControl/>
        <w:jc w:val="left"/>
      </w:pPr>
    </w:p>
    <w:p>
      <w:pPr>
        <w:widowControl/>
        <w:jc w:val="left"/>
      </w:pPr>
    </w:p>
    <w:p>
      <w:pPr>
        <w:widowControl/>
        <w:jc w:val="center"/>
      </w:pPr>
      <w:r>
        <w:rPr>
          <w:rFonts w:hint="eastAsia" w:ascii="宋体" w:hAnsi="宋体" w:eastAsia="宋体" w:cs="宋体"/>
          <w:b/>
          <w:bCs/>
          <w:kern w:val="0"/>
          <w:sz w:val="28"/>
          <w:szCs w:val="28"/>
        </w:rPr>
        <w:t>单  价  分  析  表</w:t>
      </w:r>
    </w:p>
    <w:tbl>
      <w:tblPr>
        <w:tblStyle w:val="28"/>
        <w:tblW w:w="8292" w:type="dxa"/>
        <w:tblInd w:w="95" w:type="dxa"/>
        <w:tblLayout w:type="fixed"/>
        <w:tblCellMar>
          <w:top w:w="0" w:type="dxa"/>
          <w:left w:w="108" w:type="dxa"/>
          <w:bottom w:w="0" w:type="dxa"/>
          <w:right w:w="108" w:type="dxa"/>
        </w:tblCellMar>
      </w:tblPr>
      <w:tblGrid>
        <w:gridCol w:w="660"/>
        <w:gridCol w:w="460"/>
        <w:gridCol w:w="2645"/>
        <w:gridCol w:w="1064"/>
        <w:gridCol w:w="1096"/>
        <w:gridCol w:w="1016"/>
        <w:gridCol w:w="1351"/>
      </w:tblGrid>
      <w:tr>
        <w:tblPrEx>
          <w:tblLayout w:type="fixed"/>
          <w:tblCellMar>
            <w:top w:w="0" w:type="dxa"/>
            <w:left w:w="108" w:type="dxa"/>
            <w:bottom w:w="0" w:type="dxa"/>
            <w:right w:w="108" w:type="dxa"/>
          </w:tblCellMar>
        </w:tblPrEx>
        <w:trPr>
          <w:trHeight w:val="312"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单价编号</w:t>
            </w:r>
          </w:p>
        </w:tc>
        <w:tc>
          <w:tcPr>
            <w:tcW w:w="2645"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项目名称</w:t>
            </w:r>
          </w:p>
        </w:tc>
        <w:tc>
          <w:tcPr>
            <w:tcW w:w="346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帷幕灌浆10-20lu(加权平均综合价)</w:t>
            </w:r>
          </w:p>
        </w:tc>
      </w:tr>
      <w:tr>
        <w:tblPrEx>
          <w:tblLayout w:type="fixed"/>
          <w:tblCellMar>
            <w:top w:w="0" w:type="dxa"/>
            <w:left w:w="108" w:type="dxa"/>
            <w:bottom w:w="0" w:type="dxa"/>
            <w:right w:w="108" w:type="dxa"/>
          </w:tblCellMar>
        </w:tblPrEx>
        <w:trPr>
          <w:trHeight w:val="312"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定额编号</w:t>
            </w:r>
          </w:p>
        </w:tc>
        <w:tc>
          <w:tcPr>
            <w:tcW w:w="480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70041＋70042</w:t>
            </w:r>
          </w:p>
        </w:tc>
        <w:tc>
          <w:tcPr>
            <w:tcW w:w="10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定额单位</w:t>
            </w:r>
          </w:p>
        </w:tc>
        <w:tc>
          <w:tcPr>
            <w:tcW w:w="135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100m</w:t>
            </w:r>
          </w:p>
        </w:tc>
      </w:tr>
      <w:tr>
        <w:tblPrEx>
          <w:tblLayout w:type="fixed"/>
          <w:tblCellMar>
            <w:top w:w="0" w:type="dxa"/>
            <w:left w:w="108" w:type="dxa"/>
            <w:bottom w:w="0" w:type="dxa"/>
            <w:right w:w="108" w:type="dxa"/>
          </w:tblCellMar>
        </w:tblPrEx>
        <w:trPr>
          <w:trHeight w:val="649" w:hRule="atLeast"/>
        </w:trPr>
        <w:tc>
          <w:tcPr>
            <w:tcW w:w="112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172"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29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编 号</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名称及规格</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c>
          <w:tcPr>
            <w:tcW w:w="10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数量</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单价（元）</w:t>
            </w:r>
          </w:p>
        </w:tc>
        <w:tc>
          <w:tcPr>
            <w:tcW w:w="13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合计（元）</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直接费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36090.24</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基本直接费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33729.20</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人工费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12555.83</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工长</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71.400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11.98</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855.38</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高级工</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143.800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11.09</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1594.74</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中级工</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565.600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9.33</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5277.05</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初级工</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737.200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6.55</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4828.66</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材料费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3235.75</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普通硅酸盐水泥 42.5</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9.500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255.00</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2422.50</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水</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m³</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735.000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0.60</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441.00</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其他材料费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2863.50</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372.25</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机械使用费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17937.62</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胶轮车</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台时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49.080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0.82</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40.25</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地质钻机 150型</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台时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26.800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46.20</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1238.16</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灰浆搅拌机</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台时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262.280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18.43</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4833.82</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灌浆泵 中低压泥浆</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台时</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286.380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38.31</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10971.22</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其他机械费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5.000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17083.45</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854.17</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(二)</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其他直接费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7.000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33729.20</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2361.04</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二</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间接费</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10.500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36090.24</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3789.47</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三</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利润</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7.000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39879.71</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2791.58</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四</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材料补差</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1972.20</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普通硅酸盐水泥 42.5</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9.500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207.60</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1972.20</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五</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税金</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9.000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44643.56</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4017.92</w:t>
            </w:r>
          </w:p>
        </w:tc>
      </w:tr>
      <w:tr>
        <w:tblPrEx>
          <w:tblLayout w:type="fixed"/>
          <w:tblCellMar>
            <w:top w:w="0" w:type="dxa"/>
            <w:left w:w="108" w:type="dxa"/>
            <w:bottom w:w="0" w:type="dxa"/>
            <w:right w:w="108" w:type="dxa"/>
          </w:tblCellMar>
        </w:tblPrEx>
        <w:trPr>
          <w:trHeight w:val="327"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0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元</w:t>
            </w:r>
          </w:p>
        </w:tc>
        <w:tc>
          <w:tcPr>
            <w:tcW w:w="10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48661.41</w:t>
            </w:r>
          </w:p>
        </w:tc>
      </w:tr>
    </w:tbl>
    <w:p/>
    <w:p>
      <w:pPr>
        <w:jc w:val="center"/>
        <w:rPr>
          <w:rFonts w:asciiTheme="minorEastAsia" w:hAnsiTheme="minorEastAsia"/>
          <w:kern w:val="0"/>
          <w:sz w:val="28"/>
          <w:szCs w:val="28"/>
        </w:rPr>
      </w:pPr>
    </w:p>
    <w:p>
      <w:pPr>
        <w:jc w:val="center"/>
        <w:rPr>
          <w:rFonts w:asciiTheme="minorEastAsia" w:hAnsiTheme="minorEastAsia"/>
          <w:kern w:val="0"/>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8</w:t>
    </w:r>
    <w:r>
      <w:rPr>
        <w:rStyle w:val="26"/>
      </w:rP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5781"/>
    <w:multiLevelType w:val="multilevel"/>
    <w:tmpl w:val="25695781"/>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suff w:val="space"/>
      <w:lvlText w:val="%1.%2"/>
      <w:lvlJc w:val="left"/>
      <w:pPr>
        <w:ind w:left="576" w:hanging="576"/>
      </w:pPr>
      <w:rPr>
        <w:rFonts w:hint="eastAsia"/>
      </w:rPr>
    </w:lvl>
    <w:lvl w:ilvl="2" w:tentative="0">
      <w:start w:val="1"/>
      <w:numFmt w:val="decimal"/>
      <w:pStyle w:val="4"/>
      <w:suff w:val="space"/>
      <w:lvlText w:val="%1.%2.%3"/>
      <w:lvlJc w:val="left"/>
      <w:pPr>
        <w:ind w:left="851" w:hanging="851"/>
      </w:pPr>
      <w:rPr>
        <w:rFonts w:hint="eastAsia"/>
        <w:sz w:val="28"/>
        <w:szCs w:val="28"/>
      </w:rPr>
    </w:lvl>
    <w:lvl w:ilvl="3" w:tentative="0">
      <w:start w:val="1"/>
      <w:numFmt w:val="decimal"/>
      <w:pStyle w:val="5"/>
      <w:suff w:val="space"/>
      <w:lvlText w:val="%1.%2.%3.%4"/>
      <w:lvlJc w:val="left"/>
      <w:pPr>
        <w:ind w:left="1795" w:hanging="864"/>
      </w:pPr>
      <w:rPr>
        <w:rFonts w:hint="eastAsia" w:ascii="宋体" w:eastAsia="宋体"/>
        <w:b/>
        <w:i w:val="0"/>
        <w:sz w:val="28"/>
        <w:szCs w:val="28"/>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00"/>
    <w:rsid w:val="00000E95"/>
    <w:rsid w:val="00030376"/>
    <w:rsid w:val="000676C3"/>
    <w:rsid w:val="00072889"/>
    <w:rsid w:val="00093ABA"/>
    <w:rsid w:val="00095F58"/>
    <w:rsid w:val="000B5009"/>
    <w:rsid w:val="00100000"/>
    <w:rsid w:val="00111583"/>
    <w:rsid w:val="00146BC7"/>
    <w:rsid w:val="001621B4"/>
    <w:rsid w:val="00176FB2"/>
    <w:rsid w:val="00197CE4"/>
    <w:rsid w:val="001E3DA0"/>
    <w:rsid w:val="00273168"/>
    <w:rsid w:val="002961AF"/>
    <w:rsid w:val="002A3093"/>
    <w:rsid w:val="002B61A7"/>
    <w:rsid w:val="002C2BFB"/>
    <w:rsid w:val="002C454A"/>
    <w:rsid w:val="002C6032"/>
    <w:rsid w:val="0032555E"/>
    <w:rsid w:val="00390807"/>
    <w:rsid w:val="003B331E"/>
    <w:rsid w:val="003C5038"/>
    <w:rsid w:val="003D5007"/>
    <w:rsid w:val="003E723A"/>
    <w:rsid w:val="00404D57"/>
    <w:rsid w:val="00407ED8"/>
    <w:rsid w:val="00434B51"/>
    <w:rsid w:val="0043668B"/>
    <w:rsid w:val="00446B0D"/>
    <w:rsid w:val="0045510E"/>
    <w:rsid w:val="00462FA8"/>
    <w:rsid w:val="00495676"/>
    <w:rsid w:val="004C172E"/>
    <w:rsid w:val="004F217F"/>
    <w:rsid w:val="004F4AFF"/>
    <w:rsid w:val="0053269A"/>
    <w:rsid w:val="00536526"/>
    <w:rsid w:val="005859BF"/>
    <w:rsid w:val="005869A6"/>
    <w:rsid w:val="005F38AA"/>
    <w:rsid w:val="005F4132"/>
    <w:rsid w:val="0060160A"/>
    <w:rsid w:val="00603A59"/>
    <w:rsid w:val="00637119"/>
    <w:rsid w:val="00640731"/>
    <w:rsid w:val="00663BFE"/>
    <w:rsid w:val="0067097D"/>
    <w:rsid w:val="006837FF"/>
    <w:rsid w:val="0069475D"/>
    <w:rsid w:val="006B440F"/>
    <w:rsid w:val="006F4953"/>
    <w:rsid w:val="006F7965"/>
    <w:rsid w:val="00716C03"/>
    <w:rsid w:val="0073333A"/>
    <w:rsid w:val="007504FB"/>
    <w:rsid w:val="00766049"/>
    <w:rsid w:val="007B3E62"/>
    <w:rsid w:val="00802D71"/>
    <w:rsid w:val="008277C2"/>
    <w:rsid w:val="008B7D35"/>
    <w:rsid w:val="008E2397"/>
    <w:rsid w:val="008F44D5"/>
    <w:rsid w:val="00937D13"/>
    <w:rsid w:val="0097225F"/>
    <w:rsid w:val="00982114"/>
    <w:rsid w:val="009827DF"/>
    <w:rsid w:val="009931AE"/>
    <w:rsid w:val="009936DA"/>
    <w:rsid w:val="009B0339"/>
    <w:rsid w:val="009B6278"/>
    <w:rsid w:val="009B7598"/>
    <w:rsid w:val="009C2589"/>
    <w:rsid w:val="009D0635"/>
    <w:rsid w:val="009D291A"/>
    <w:rsid w:val="009D3AC1"/>
    <w:rsid w:val="009E5DEA"/>
    <w:rsid w:val="009F5E8C"/>
    <w:rsid w:val="009F72B2"/>
    <w:rsid w:val="00A17FF4"/>
    <w:rsid w:val="00A44081"/>
    <w:rsid w:val="00AA1876"/>
    <w:rsid w:val="00AA68B2"/>
    <w:rsid w:val="00AB48B7"/>
    <w:rsid w:val="00AD795A"/>
    <w:rsid w:val="00AF1525"/>
    <w:rsid w:val="00AF4C79"/>
    <w:rsid w:val="00B05888"/>
    <w:rsid w:val="00B263E5"/>
    <w:rsid w:val="00B71020"/>
    <w:rsid w:val="00B80B65"/>
    <w:rsid w:val="00BA4FC2"/>
    <w:rsid w:val="00BB0E9D"/>
    <w:rsid w:val="00BD3301"/>
    <w:rsid w:val="00BD75B8"/>
    <w:rsid w:val="00BE592A"/>
    <w:rsid w:val="00C07D46"/>
    <w:rsid w:val="00C51C89"/>
    <w:rsid w:val="00C55389"/>
    <w:rsid w:val="00C6183B"/>
    <w:rsid w:val="00C83894"/>
    <w:rsid w:val="00CB3FC6"/>
    <w:rsid w:val="00CD1D72"/>
    <w:rsid w:val="00CF2877"/>
    <w:rsid w:val="00D21D83"/>
    <w:rsid w:val="00D3372D"/>
    <w:rsid w:val="00D3744F"/>
    <w:rsid w:val="00D508A3"/>
    <w:rsid w:val="00D5295E"/>
    <w:rsid w:val="00D636AE"/>
    <w:rsid w:val="00E02AB6"/>
    <w:rsid w:val="00E0635C"/>
    <w:rsid w:val="00E072EF"/>
    <w:rsid w:val="00E341B3"/>
    <w:rsid w:val="00E40231"/>
    <w:rsid w:val="00E506EC"/>
    <w:rsid w:val="00E5292D"/>
    <w:rsid w:val="00E55BD3"/>
    <w:rsid w:val="00ED5116"/>
    <w:rsid w:val="00ED52B4"/>
    <w:rsid w:val="00EF5963"/>
    <w:rsid w:val="00F11451"/>
    <w:rsid w:val="00F52527"/>
    <w:rsid w:val="00F67B65"/>
    <w:rsid w:val="00F86E93"/>
    <w:rsid w:val="00FB094B"/>
    <w:rsid w:val="00FC1D63"/>
    <w:rsid w:val="00FC5B79"/>
    <w:rsid w:val="00FE5351"/>
    <w:rsid w:val="00FF5DAE"/>
    <w:rsid w:val="1F266D12"/>
    <w:rsid w:val="799D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keepLines/>
      <w:numPr>
        <w:ilvl w:val="0"/>
        <w:numId w:val="1"/>
      </w:numPr>
      <w:spacing w:before="40" w:beforeLines="40" w:after="20" w:afterLines="20" w:line="480" w:lineRule="auto"/>
      <w:outlineLvl w:val="0"/>
    </w:pPr>
    <w:rPr>
      <w:rFonts w:ascii="黑体" w:hAnsi="Times New Roman" w:eastAsia="黑体" w:cs="Times New Roman"/>
      <w:kern w:val="44"/>
      <w:sz w:val="30"/>
      <w:szCs w:val="20"/>
    </w:rPr>
  </w:style>
  <w:style w:type="paragraph" w:styleId="3">
    <w:name w:val="heading 2"/>
    <w:basedOn w:val="1"/>
    <w:next w:val="1"/>
    <w:link w:val="31"/>
    <w:qFormat/>
    <w:uiPriority w:val="0"/>
    <w:pPr>
      <w:keepNext/>
      <w:keepLines/>
      <w:numPr>
        <w:ilvl w:val="1"/>
        <w:numId w:val="1"/>
      </w:numPr>
      <w:spacing w:before="20" w:beforeLines="20" w:after="10" w:afterLines="10" w:line="360" w:lineRule="auto"/>
      <w:outlineLvl w:val="1"/>
    </w:pPr>
    <w:rPr>
      <w:rFonts w:ascii="黑体" w:hAnsi="Arial" w:eastAsia="黑体" w:cs="Times New Roman"/>
      <w:sz w:val="28"/>
      <w:szCs w:val="20"/>
    </w:rPr>
  </w:style>
  <w:style w:type="paragraph" w:styleId="4">
    <w:name w:val="heading 3"/>
    <w:basedOn w:val="1"/>
    <w:next w:val="1"/>
    <w:link w:val="32"/>
    <w:qFormat/>
    <w:uiPriority w:val="0"/>
    <w:pPr>
      <w:keepNext/>
      <w:keepLines/>
      <w:numPr>
        <w:ilvl w:val="2"/>
        <w:numId w:val="1"/>
      </w:numPr>
      <w:spacing w:before="20" w:beforeLines="20" w:after="20" w:afterLines="20" w:line="360" w:lineRule="auto"/>
      <w:outlineLvl w:val="2"/>
    </w:pPr>
    <w:rPr>
      <w:rFonts w:ascii="黑体" w:hAnsi="Times New Roman" w:eastAsia="黑体" w:cs="Times New Roman"/>
      <w:sz w:val="24"/>
      <w:szCs w:val="20"/>
    </w:rPr>
  </w:style>
  <w:style w:type="paragraph" w:styleId="5">
    <w:name w:val="heading 4"/>
    <w:basedOn w:val="1"/>
    <w:next w:val="1"/>
    <w:link w:val="33"/>
    <w:qFormat/>
    <w:uiPriority w:val="0"/>
    <w:pPr>
      <w:keepNext/>
      <w:keepLines/>
      <w:numPr>
        <w:ilvl w:val="3"/>
        <w:numId w:val="1"/>
      </w:numPr>
      <w:spacing w:before="80" w:after="80" w:line="377" w:lineRule="auto"/>
      <w:outlineLvl w:val="3"/>
    </w:pPr>
    <w:rPr>
      <w:rFonts w:ascii="宋体" w:hAnsi="Arial" w:eastAsia="宋体" w:cs="Times New Roman"/>
      <w:sz w:val="24"/>
      <w:szCs w:val="20"/>
    </w:rPr>
  </w:style>
  <w:style w:type="paragraph" w:styleId="6">
    <w:name w:val="heading 5"/>
    <w:basedOn w:val="1"/>
    <w:next w:val="7"/>
    <w:link w:val="34"/>
    <w:qFormat/>
    <w:uiPriority w:val="0"/>
    <w:pPr>
      <w:keepNext/>
      <w:keepLines/>
      <w:numPr>
        <w:ilvl w:val="4"/>
        <w:numId w:val="1"/>
      </w:numPr>
      <w:spacing w:before="280" w:after="290" w:line="376" w:lineRule="auto"/>
      <w:outlineLvl w:val="4"/>
    </w:pPr>
    <w:rPr>
      <w:rFonts w:ascii="宋体" w:hAnsi="Times New Roman" w:eastAsia="宋体" w:cs="Times New Roman"/>
      <w:b/>
      <w:sz w:val="28"/>
      <w:szCs w:val="20"/>
    </w:rPr>
  </w:style>
  <w:style w:type="paragraph" w:styleId="8">
    <w:name w:val="heading 6"/>
    <w:basedOn w:val="1"/>
    <w:next w:val="7"/>
    <w:link w:val="35"/>
    <w:qFormat/>
    <w:uiPriority w:val="0"/>
    <w:pPr>
      <w:keepNext/>
      <w:keepLines/>
      <w:numPr>
        <w:ilvl w:val="5"/>
        <w:numId w:val="1"/>
      </w:numPr>
      <w:spacing w:before="240" w:after="64" w:line="320" w:lineRule="auto"/>
      <w:outlineLvl w:val="5"/>
    </w:pPr>
    <w:rPr>
      <w:rFonts w:ascii="Arial" w:hAnsi="Arial" w:eastAsia="黑体" w:cs="Times New Roman"/>
      <w:b/>
      <w:sz w:val="24"/>
      <w:szCs w:val="20"/>
    </w:rPr>
  </w:style>
  <w:style w:type="paragraph" w:styleId="9">
    <w:name w:val="heading 7"/>
    <w:basedOn w:val="1"/>
    <w:next w:val="7"/>
    <w:link w:val="36"/>
    <w:qFormat/>
    <w:uiPriority w:val="0"/>
    <w:pPr>
      <w:keepNext/>
      <w:keepLines/>
      <w:numPr>
        <w:ilvl w:val="6"/>
        <w:numId w:val="1"/>
      </w:numPr>
      <w:spacing w:before="240" w:after="64" w:line="320" w:lineRule="auto"/>
      <w:outlineLvl w:val="6"/>
    </w:pPr>
    <w:rPr>
      <w:rFonts w:ascii="宋体" w:hAnsi="Times New Roman" w:eastAsia="宋体" w:cs="Times New Roman"/>
      <w:b/>
      <w:sz w:val="24"/>
      <w:szCs w:val="20"/>
    </w:rPr>
  </w:style>
  <w:style w:type="paragraph" w:styleId="10">
    <w:name w:val="heading 8"/>
    <w:basedOn w:val="1"/>
    <w:next w:val="7"/>
    <w:link w:val="37"/>
    <w:qFormat/>
    <w:uiPriority w:val="0"/>
    <w:pPr>
      <w:keepNext/>
      <w:keepLines/>
      <w:numPr>
        <w:ilvl w:val="7"/>
        <w:numId w:val="1"/>
      </w:numPr>
      <w:spacing w:before="240" w:after="64" w:line="320" w:lineRule="auto"/>
      <w:outlineLvl w:val="7"/>
    </w:pPr>
    <w:rPr>
      <w:rFonts w:ascii="Arial" w:hAnsi="Arial" w:eastAsia="黑体" w:cs="Times New Roman"/>
      <w:sz w:val="24"/>
      <w:szCs w:val="20"/>
    </w:rPr>
  </w:style>
  <w:style w:type="paragraph" w:styleId="11">
    <w:name w:val="heading 9"/>
    <w:basedOn w:val="1"/>
    <w:next w:val="7"/>
    <w:link w:val="38"/>
    <w:qFormat/>
    <w:uiPriority w:val="0"/>
    <w:pPr>
      <w:keepNext/>
      <w:keepLines/>
      <w:numPr>
        <w:ilvl w:val="8"/>
        <w:numId w:val="1"/>
      </w:numPr>
      <w:spacing w:before="240" w:after="64" w:line="320" w:lineRule="auto"/>
      <w:outlineLvl w:val="8"/>
    </w:pPr>
    <w:rPr>
      <w:rFonts w:ascii="Arial" w:hAnsi="Arial" w:eastAsia="黑体" w:cs="Times New Roman"/>
      <w:sz w:val="28"/>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41"/>
    <w:qFormat/>
    <w:uiPriority w:val="0"/>
    <w:pPr>
      <w:ind w:firstLine="420" w:firstLineChars="200"/>
    </w:pPr>
    <w:rPr>
      <w:rFonts w:ascii="Times New Roman" w:hAnsi="Times New Roman" w:eastAsia="宋体" w:cs="Times New Roman"/>
      <w:szCs w:val="24"/>
    </w:rPr>
  </w:style>
  <w:style w:type="paragraph" w:styleId="12">
    <w:name w:val="macro"/>
    <w:link w:val="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Document Map"/>
    <w:basedOn w:val="1"/>
    <w:link w:val="44"/>
    <w:semiHidden/>
    <w:uiPriority w:val="0"/>
    <w:pPr>
      <w:shd w:val="clear" w:color="auto" w:fill="000080"/>
    </w:pPr>
    <w:rPr>
      <w:rFonts w:ascii="Times New Roman" w:hAnsi="Times New Roman" w:eastAsia="宋体" w:cs="Times New Roman"/>
      <w:szCs w:val="24"/>
    </w:rPr>
  </w:style>
  <w:style w:type="paragraph" w:styleId="14">
    <w:name w:val="Body Text"/>
    <w:basedOn w:val="1"/>
    <w:link w:val="53"/>
    <w:semiHidden/>
    <w:unhideWhenUsed/>
    <w:uiPriority w:val="99"/>
    <w:pPr>
      <w:spacing w:after="120"/>
    </w:pPr>
  </w:style>
  <w:style w:type="paragraph" w:styleId="15">
    <w:name w:val="Body Text Indent"/>
    <w:basedOn w:val="1"/>
    <w:link w:val="54"/>
    <w:semiHidden/>
    <w:unhideWhenUsed/>
    <w:uiPriority w:val="99"/>
    <w:pPr>
      <w:spacing w:after="120"/>
      <w:ind w:left="420" w:leftChars="200"/>
    </w:pPr>
  </w:style>
  <w:style w:type="paragraph" w:styleId="16">
    <w:name w:val="toc 3"/>
    <w:basedOn w:val="1"/>
    <w:next w:val="1"/>
    <w:semiHidden/>
    <w:uiPriority w:val="0"/>
    <w:pPr>
      <w:ind w:left="840" w:leftChars="400"/>
    </w:pPr>
    <w:rPr>
      <w:rFonts w:ascii="Times New Roman" w:hAnsi="Times New Roman" w:eastAsia="宋体" w:cs="Times New Roman"/>
      <w:szCs w:val="24"/>
    </w:rPr>
  </w:style>
  <w:style w:type="paragraph" w:styleId="17">
    <w:name w:val="Date"/>
    <w:basedOn w:val="1"/>
    <w:next w:val="1"/>
    <w:link w:val="39"/>
    <w:uiPriority w:val="0"/>
    <w:pPr>
      <w:ind w:left="100" w:leftChars="2500"/>
    </w:pPr>
    <w:rPr>
      <w:rFonts w:ascii="Times New Roman" w:hAnsi="Times New Roman" w:eastAsia="宋体" w:cs="Times New Roman"/>
      <w:szCs w:val="24"/>
    </w:rPr>
  </w:style>
  <w:style w:type="paragraph" w:styleId="18">
    <w:name w:val="Body Text Indent 2"/>
    <w:basedOn w:val="1"/>
    <w:link w:val="42"/>
    <w:qFormat/>
    <w:uiPriority w:val="0"/>
    <w:pPr>
      <w:autoSpaceDE w:val="0"/>
      <w:autoSpaceDN w:val="0"/>
      <w:adjustRightInd w:val="0"/>
      <w:ind w:firstLine="555"/>
      <w:jc w:val="left"/>
    </w:pPr>
    <w:rPr>
      <w:rFonts w:ascii="Times New Roman" w:hAnsi="Times New Roman" w:eastAsia="仿宋_GB2312" w:cs="Times New Roman"/>
      <w:sz w:val="28"/>
      <w:szCs w:val="20"/>
    </w:rPr>
  </w:style>
  <w:style w:type="paragraph" w:styleId="19">
    <w:name w:val="Balloon Text"/>
    <w:basedOn w:val="1"/>
    <w:link w:val="47"/>
    <w:semiHidden/>
    <w:unhideWhenUsed/>
    <w:qFormat/>
    <w:uiPriority w:val="99"/>
    <w:rPr>
      <w:sz w:val="18"/>
      <w:szCs w:val="18"/>
    </w:rPr>
  </w:style>
  <w:style w:type="paragraph" w:styleId="20">
    <w:name w:val="footer"/>
    <w:basedOn w:val="1"/>
    <w:link w:val="4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1">
    <w:name w:val="Body Text First Indent 2"/>
    <w:basedOn w:val="15"/>
    <w:link w:val="55"/>
    <w:semiHidden/>
    <w:unhideWhenUsed/>
    <w:uiPriority w:val="99"/>
    <w:pPr>
      <w:ind w:firstLine="420" w:firstLineChars="200"/>
    </w:pPr>
  </w:style>
  <w:style w:type="paragraph" w:styleId="22">
    <w:name w:val="header"/>
    <w:basedOn w:val="1"/>
    <w:link w:val="46"/>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3">
    <w:name w:val="toc 1"/>
    <w:basedOn w:val="1"/>
    <w:next w:val="1"/>
    <w:uiPriority w:val="39"/>
    <w:pPr>
      <w:tabs>
        <w:tab w:val="right" w:leader="dot" w:pos="8296"/>
      </w:tabs>
      <w:spacing w:line="360" w:lineRule="auto"/>
    </w:pPr>
    <w:rPr>
      <w:rFonts w:cs="Times New Roman" w:asciiTheme="minorEastAsia" w:hAnsiTheme="minorEastAsia"/>
      <w:b/>
      <w:sz w:val="28"/>
      <w:szCs w:val="28"/>
    </w:rPr>
  </w:style>
  <w:style w:type="paragraph" w:styleId="24">
    <w:name w:val="toc 2"/>
    <w:basedOn w:val="1"/>
    <w:next w:val="1"/>
    <w:uiPriority w:val="39"/>
    <w:pPr>
      <w:ind w:left="420" w:leftChars="200"/>
    </w:pPr>
    <w:rPr>
      <w:rFonts w:ascii="Times New Roman" w:hAnsi="Times New Roman" w:eastAsia="宋体" w:cs="Times New Roman"/>
      <w:szCs w:val="24"/>
    </w:rPr>
  </w:style>
  <w:style w:type="character" w:styleId="26">
    <w:name w:val="page number"/>
    <w:basedOn w:val="25"/>
    <w:uiPriority w:val="0"/>
  </w:style>
  <w:style w:type="character" w:styleId="27">
    <w:name w:val="Hyperlink"/>
    <w:qFormat/>
    <w:uiPriority w:val="99"/>
    <w:rPr>
      <w:color w:val="0000FF"/>
      <w:u w:val="single"/>
    </w:rPr>
  </w:style>
  <w:style w:type="table" w:styleId="29">
    <w:name w:val="Table Grid"/>
    <w:basedOn w:val="2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标题 1 Char"/>
    <w:basedOn w:val="25"/>
    <w:link w:val="2"/>
    <w:qFormat/>
    <w:uiPriority w:val="0"/>
    <w:rPr>
      <w:rFonts w:ascii="黑体" w:hAnsi="Times New Roman" w:eastAsia="黑体" w:cs="Times New Roman"/>
      <w:kern w:val="44"/>
      <w:sz w:val="30"/>
      <w:szCs w:val="20"/>
    </w:rPr>
  </w:style>
  <w:style w:type="character" w:customStyle="1" w:styleId="31">
    <w:name w:val="标题 2 Char"/>
    <w:basedOn w:val="25"/>
    <w:link w:val="3"/>
    <w:qFormat/>
    <w:uiPriority w:val="0"/>
    <w:rPr>
      <w:rFonts w:ascii="黑体" w:hAnsi="Arial" w:eastAsia="黑体" w:cs="Times New Roman"/>
      <w:sz w:val="28"/>
      <w:szCs w:val="20"/>
    </w:rPr>
  </w:style>
  <w:style w:type="character" w:customStyle="1" w:styleId="32">
    <w:name w:val="标题 3 Char"/>
    <w:basedOn w:val="25"/>
    <w:link w:val="4"/>
    <w:qFormat/>
    <w:uiPriority w:val="0"/>
    <w:rPr>
      <w:rFonts w:ascii="黑体" w:hAnsi="Times New Roman" w:eastAsia="黑体" w:cs="Times New Roman"/>
      <w:sz w:val="24"/>
      <w:szCs w:val="20"/>
    </w:rPr>
  </w:style>
  <w:style w:type="character" w:customStyle="1" w:styleId="33">
    <w:name w:val="标题 4 Char"/>
    <w:basedOn w:val="25"/>
    <w:link w:val="5"/>
    <w:qFormat/>
    <w:uiPriority w:val="0"/>
    <w:rPr>
      <w:rFonts w:ascii="宋体" w:hAnsi="Arial" w:eastAsia="宋体" w:cs="Times New Roman"/>
      <w:sz w:val="24"/>
      <w:szCs w:val="20"/>
    </w:rPr>
  </w:style>
  <w:style w:type="character" w:customStyle="1" w:styleId="34">
    <w:name w:val="标题 5 Char"/>
    <w:basedOn w:val="25"/>
    <w:link w:val="6"/>
    <w:qFormat/>
    <w:uiPriority w:val="0"/>
    <w:rPr>
      <w:rFonts w:ascii="宋体" w:hAnsi="Times New Roman" w:eastAsia="宋体" w:cs="Times New Roman"/>
      <w:b/>
      <w:sz w:val="28"/>
      <w:szCs w:val="20"/>
    </w:rPr>
  </w:style>
  <w:style w:type="character" w:customStyle="1" w:styleId="35">
    <w:name w:val="标题 6 Char"/>
    <w:basedOn w:val="25"/>
    <w:link w:val="8"/>
    <w:qFormat/>
    <w:uiPriority w:val="0"/>
    <w:rPr>
      <w:rFonts w:ascii="Arial" w:hAnsi="Arial" w:eastAsia="黑体" w:cs="Times New Roman"/>
      <w:b/>
      <w:sz w:val="24"/>
      <w:szCs w:val="20"/>
    </w:rPr>
  </w:style>
  <w:style w:type="character" w:customStyle="1" w:styleId="36">
    <w:name w:val="标题 7 Char"/>
    <w:basedOn w:val="25"/>
    <w:link w:val="9"/>
    <w:qFormat/>
    <w:uiPriority w:val="0"/>
    <w:rPr>
      <w:rFonts w:ascii="宋体" w:hAnsi="Times New Roman" w:eastAsia="宋体" w:cs="Times New Roman"/>
      <w:b/>
      <w:sz w:val="24"/>
      <w:szCs w:val="20"/>
    </w:rPr>
  </w:style>
  <w:style w:type="character" w:customStyle="1" w:styleId="37">
    <w:name w:val="标题 8 Char"/>
    <w:basedOn w:val="25"/>
    <w:link w:val="10"/>
    <w:qFormat/>
    <w:uiPriority w:val="0"/>
    <w:rPr>
      <w:rFonts w:ascii="Arial" w:hAnsi="Arial" w:eastAsia="黑体" w:cs="Times New Roman"/>
      <w:sz w:val="24"/>
      <w:szCs w:val="20"/>
    </w:rPr>
  </w:style>
  <w:style w:type="character" w:customStyle="1" w:styleId="38">
    <w:name w:val="标题 9 Char"/>
    <w:basedOn w:val="25"/>
    <w:link w:val="11"/>
    <w:qFormat/>
    <w:uiPriority w:val="0"/>
    <w:rPr>
      <w:rFonts w:ascii="Arial" w:hAnsi="Arial" w:eastAsia="黑体" w:cs="Times New Roman"/>
      <w:sz w:val="28"/>
      <w:szCs w:val="20"/>
    </w:rPr>
  </w:style>
  <w:style w:type="character" w:customStyle="1" w:styleId="39">
    <w:name w:val="日期 Char"/>
    <w:basedOn w:val="25"/>
    <w:link w:val="17"/>
    <w:uiPriority w:val="0"/>
    <w:rPr>
      <w:rFonts w:ascii="Times New Roman" w:hAnsi="Times New Roman" w:eastAsia="宋体" w:cs="Times New Roman"/>
      <w:szCs w:val="24"/>
    </w:rPr>
  </w:style>
  <w:style w:type="paragraph" w:customStyle="1" w:styleId="40">
    <w:name w:val="Char Char Char Char Char Char Char Char Char Char Char Char Char Char Char Char Char Char Char Char Char1 Char Char Char Char Char Char1 Char Char Char Char"/>
    <w:basedOn w:val="1"/>
    <w:semiHidden/>
    <w:qFormat/>
    <w:uiPriority w:val="0"/>
    <w:pPr>
      <w:ind w:left="510"/>
    </w:pPr>
    <w:rPr>
      <w:rFonts w:ascii="Times New Roman" w:hAnsi="Times New Roman" w:eastAsia="宋体" w:cs="Times New Roman"/>
      <w:szCs w:val="21"/>
    </w:rPr>
  </w:style>
  <w:style w:type="character" w:customStyle="1" w:styleId="41">
    <w:name w:val="正文缩进 Char1"/>
    <w:link w:val="7"/>
    <w:qFormat/>
    <w:uiPriority w:val="0"/>
    <w:rPr>
      <w:rFonts w:ascii="Times New Roman" w:hAnsi="Times New Roman" w:eastAsia="宋体" w:cs="Times New Roman"/>
      <w:szCs w:val="24"/>
    </w:rPr>
  </w:style>
  <w:style w:type="character" w:customStyle="1" w:styleId="42">
    <w:name w:val="正文文本缩进 2 Char"/>
    <w:basedOn w:val="25"/>
    <w:link w:val="18"/>
    <w:uiPriority w:val="0"/>
    <w:rPr>
      <w:rFonts w:ascii="Times New Roman" w:hAnsi="Times New Roman" w:eastAsia="仿宋_GB2312" w:cs="Times New Roman"/>
      <w:sz w:val="28"/>
      <w:szCs w:val="20"/>
    </w:rPr>
  </w:style>
  <w:style w:type="paragraph" w:customStyle="1" w:styleId="43">
    <w:name w:val="样式 标题 2 + 非加粗 段前: 0 磅 段后: 0 磅 行距: 单倍行距"/>
    <w:basedOn w:val="3"/>
    <w:uiPriority w:val="0"/>
    <w:pPr>
      <w:keepNext w:val="0"/>
      <w:numPr>
        <w:ilvl w:val="0"/>
        <w:numId w:val="0"/>
      </w:numPr>
      <w:spacing w:before="0" w:beforeLines="0" w:after="0" w:afterLines="0"/>
    </w:pPr>
    <w:rPr>
      <w:rFonts w:ascii="Times New Roman" w:hAnsi="Times New Roman" w:eastAsia="宋体"/>
      <w:b/>
      <w:szCs w:val="28"/>
    </w:rPr>
  </w:style>
  <w:style w:type="character" w:customStyle="1" w:styleId="44">
    <w:name w:val="文档结构图 Char"/>
    <w:basedOn w:val="25"/>
    <w:link w:val="13"/>
    <w:semiHidden/>
    <w:uiPriority w:val="0"/>
    <w:rPr>
      <w:rFonts w:ascii="Times New Roman" w:hAnsi="Times New Roman" w:eastAsia="宋体" w:cs="Times New Roman"/>
      <w:szCs w:val="24"/>
      <w:shd w:val="clear" w:color="auto" w:fill="000080"/>
    </w:rPr>
  </w:style>
  <w:style w:type="character" w:customStyle="1" w:styleId="45">
    <w:name w:val="页脚 Char"/>
    <w:basedOn w:val="25"/>
    <w:link w:val="20"/>
    <w:uiPriority w:val="0"/>
    <w:rPr>
      <w:rFonts w:ascii="Times New Roman" w:hAnsi="Times New Roman" w:eastAsia="宋体" w:cs="Times New Roman"/>
      <w:sz w:val="18"/>
      <w:szCs w:val="18"/>
    </w:rPr>
  </w:style>
  <w:style w:type="character" w:customStyle="1" w:styleId="46">
    <w:name w:val="页眉 Char"/>
    <w:basedOn w:val="25"/>
    <w:link w:val="22"/>
    <w:qFormat/>
    <w:uiPriority w:val="0"/>
    <w:rPr>
      <w:rFonts w:ascii="Times New Roman" w:hAnsi="Times New Roman" w:eastAsia="宋体" w:cs="Times New Roman"/>
      <w:sz w:val="18"/>
      <w:szCs w:val="18"/>
    </w:rPr>
  </w:style>
  <w:style w:type="character" w:customStyle="1" w:styleId="47">
    <w:name w:val="批注框文本 Char"/>
    <w:basedOn w:val="25"/>
    <w:link w:val="19"/>
    <w:semiHidden/>
    <w:qFormat/>
    <w:uiPriority w:val="99"/>
    <w:rPr>
      <w:sz w:val="18"/>
      <w:szCs w:val="18"/>
    </w:rPr>
  </w:style>
  <w:style w:type="paragraph" w:styleId="48">
    <w:name w:val="List Paragraph"/>
    <w:basedOn w:val="1"/>
    <w:qFormat/>
    <w:uiPriority w:val="34"/>
    <w:pPr>
      <w:ind w:firstLine="420" w:firstLineChars="200"/>
    </w:pPr>
  </w:style>
  <w:style w:type="paragraph" w:customStyle="1" w:styleId="49">
    <w:name w:val="Char Char"/>
    <w:basedOn w:val="1"/>
    <w:next w:val="12"/>
    <w:uiPriority w:val="0"/>
    <w:rPr>
      <w:rFonts w:ascii="Times New Roman" w:hAnsi="Times New Roman" w:eastAsia="宋体" w:cs="Times New Roman"/>
      <w:sz w:val="28"/>
      <w:szCs w:val="28"/>
    </w:rPr>
  </w:style>
  <w:style w:type="character" w:customStyle="1" w:styleId="50">
    <w:name w:val="宏文本 Char"/>
    <w:basedOn w:val="25"/>
    <w:link w:val="12"/>
    <w:semiHidden/>
    <w:qFormat/>
    <w:uiPriority w:val="99"/>
    <w:rPr>
      <w:rFonts w:ascii="Courier New" w:hAnsi="Courier New" w:eastAsia="宋体" w:cs="Courier New"/>
      <w:sz w:val="24"/>
      <w:szCs w:val="24"/>
    </w:rPr>
  </w:style>
  <w:style w:type="character" w:customStyle="1" w:styleId="51">
    <w:name w:val="表格标题yk Char"/>
    <w:link w:val="52"/>
    <w:uiPriority w:val="0"/>
    <w:rPr>
      <w:rFonts w:eastAsia="黑体"/>
      <w:sz w:val="24"/>
      <w:szCs w:val="24"/>
    </w:rPr>
  </w:style>
  <w:style w:type="paragraph" w:customStyle="1" w:styleId="52">
    <w:name w:val="表格标题yk"/>
    <w:basedOn w:val="1"/>
    <w:link w:val="51"/>
    <w:qFormat/>
    <w:uiPriority w:val="0"/>
    <w:pPr>
      <w:widowControl/>
      <w:spacing w:line="420" w:lineRule="exact"/>
      <w:jc w:val="center"/>
    </w:pPr>
    <w:rPr>
      <w:rFonts w:eastAsia="黑体"/>
      <w:sz w:val="24"/>
      <w:szCs w:val="24"/>
    </w:rPr>
  </w:style>
  <w:style w:type="character" w:customStyle="1" w:styleId="53">
    <w:name w:val="正文文本 Char"/>
    <w:basedOn w:val="25"/>
    <w:link w:val="14"/>
    <w:semiHidden/>
    <w:qFormat/>
    <w:uiPriority w:val="99"/>
  </w:style>
  <w:style w:type="character" w:customStyle="1" w:styleId="54">
    <w:name w:val="正文文本缩进 Char"/>
    <w:basedOn w:val="25"/>
    <w:link w:val="15"/>
    <w:semiHidden/>
    <w:qFormat/>
    <w:uiPriority w:val="99"/>
  </w:style>
  <w:style w:type="character" w:customStyle="1" w:styleId="55">
    <w:name w:val="正文首行缩进 2 Char"/>
    <w:basedOn w:val="54"/>
    <w:link w:val="21"/>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1100</Words>
  <Characters>6274</Characters>
  <Lines>52</Lines>
  <Paragraphs>14</Paragraphs>
  <TotalTime>1</TotalTime>
  <ScaleCrop>false</ScaleCrop>
  <LinksUpToDate>false</LinksUpToDate>
  <CharactersWithSpaces>7360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2017-06-27T00:33:00Z</dcterms:created>
  <dc:creator>Administrator</dc:creator>
  <cp:lastModifiedBy>Administrator</cp:lastModifiedBy>
  <cp:lastPrinted>2018-09-19T08:21:00Z</cp:lastPrinted>
  <dcterms:modified xsi:type="dcterms:W3CDTF">2020-04-08T13:38:38Z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