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lang w:val="en-US" w:eastAsia="zh-CN"/>
        </w:rPr>
      </w:pPr>
      <w:bookmarkStart w:id="0" w:name="_GoBack"/>
      <w:bookmarkEnd w:id="0"/>
      <w:r>
        <w:rPr>
          <w:sz w:val="32"/>
        </w:rPr>
        <w:pict>
          <v:rect id="KGD_Gobal1" o:spid="_x0000_s1026" o:spt="1" alt="lskY7P30+39SSS2ze3CC/KokF4JNMgotDuSxdPHrywWMYulv9/UMZE1eCsGzaTPLidVFNZgp0BGq3xpAMiu0mX8FkSnjLqTIRHRGFJ8jG405BCnI7NQJoWDod64Ug1dSVfhB1LNt9mZd0kHRbQMWBoUlYNHM3mBqUNf5sapk/iDZSa4DyA3AzUtpZJp3vaj7SX1G7fXGDazLaDZqmz6XSqmyferIij96tiZ4zRV75bL5QetoiXy7QfULlxiK6W3n86K/jj899OXmiZozglqdy8OtHroFjxxBZdaXys5nVTHoZm0sP1DfdFQ+muisA3br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fjZl6Mr3Ryyp6xDuW0IV7MLY+Zgz4GBuNen5He7PErN/7ku9mZY0V6/ZyTV55MO/X9Q61PSXP2M3FYFwJvtErsHtzI8w5kc5i+awlSp5izMgW7DXdTutEcwkAqVNotBIEHSY7XO5wFPHIQGj26862q+UiucR58jkYuf/1m5mHQH5G9wFng8iyZzN6AnxqNtPx//7ZH6bQ7GbkMLPK6Nq7hrX9pOong7CGEwo5ugWyI="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小标宋_GBK" w:cs="Times New Roman"/>
          <w:sz w:val="44"/>
          <w:szCs w:val="44"/>
          <w:lang w:eastAsia="zh-CN"/>
        </w:rPr>
        <w:t>梁河县财政局关于</w:t>
      </w:r>
      <w:r>
        <w:rPr>
          <w:rFonts w:hint="eastAsia" w:ascii="Times New Roman" w:hAnsi="Times New Roman" w:eastAsia="方正小标宋_GBK" w:cs="Times New Roman"/>
          <w:sz w:val="44"/>
          <w:szCs w:val="44"/>
          <w:lang w:eastAsia="zh-CN"/>
        </w:rPr>
        <w:t>下达</w:t>
      </w:r>
      <w:r>
        <w:rPr>
          <w:rFonts w:hint="eastAsia" w:ascii="Times New Roman" w:hAnsi="Times New Roman" w:eastAsia="方正小标宋_GBK" w:cs="Times New Roman"/>
          <w:sz w:val="44"/>
          <w:szCs w:val="44"/>
          <w:lang w:val="en-US" w:eastAsia="zh-CN"/>
        </w:rPr>
        <w:t>2022年省级财政</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衔接推进乡村振兴补助资金</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lang w:eastAsia="zh-CN"/>
        </w:rPr>
        <w:t>工业和商务科技局、县人力资源和社会保障局、县遮岛镇人民政府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Times New Roman"/>
          <w:sz w:val="32"/>
          <w:szCs w:val="32"/>
          <w:lang w:eastAsia="zh-CN"/>
        </w:rPr>
        <w:t>根据《德宏州财政局关于</w:t>
      </w:r>
      <w:r>
        <w:rPr>
          <w:rFonts w:hint="eastAsia" w:ascii="Times New Roman" w:hAnsi="Times New Roman" w:eastAsia="方正仿宋_GBK" w:cs="Times New Roman"/>
          <w:sz w:val="32"/>
          <w:szCs w:val="32"/>
          <w:lang w:eastAsia="zh-CN"/>
        </w:rPr>
        <w:t>下达</w:t>
      </w:r>
      <w:r>
        <w:rPr>
          <w:rFonts w:hint="eastAsia" w:ascii="Times New Roman" w:hAnsi="Times New Roman" w:eastAsia="方正仿宋_GBK" w:cs="Times New Roman"/>
          <w:sz w:val="32"/>
          <w:szCs w:val="32"/>
          <w:lang w:val="en-US" w:eastAsia="zh-CN"/>
        </w:rPr>
        <w:t>2022年省级财政衔接推进乡村振兴补助资金</w:t>
      </w:r>
      <w:r>
        <w:rPr>
          <w:rFonts w:hint="default" w:ascii="Times New Roman" w:hAnsi="Times New Roman" w:eastAsia="方正仿宋_GBK" w:cs="Times New Roman"/>
          <w:sz w:val="32"/>
          <w:szCs w:val="32"/>
          <w:lang w:eastAsia="zh-CN"/>
        </w:rPr>
        <w:t>的通知》（德财农〔202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lang w:eastAsia="zh-CN"/>
        </w:rPr>
        <w:t>号）</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梁河县人民政府梁河县</w:t>
      </w:r>
      <w:r>
        <w:rPr>
          <w:rFonts w:hint="eastAsia" w:ascii="Times New Roman" w:hAnsi="Times New Roman" w:eastAsia="方正仿宋_GBK" w:cs="Times New Roman"/>
          <w:sz w:val="32"/>
          <w:szCs w:val="32"/>
          <w:lang w:val="en-US" w:eastAsia="zh-CN"/>
        </w:rPr>
        <w:t>2022年度第六批次财政涉农整合资金分配方案是批复</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138</w:t>
      </w:r>
      <w:r>
        <w:rPr>
          <w:rFonts w:hint="default" w:ascii="Times New Roman" w:hAnsi="Times New Roman" w:eastAsia="方正仿宋_GBK" w:cs="Times New Roman"/>
          <w:sz w:val="32"/>
          <w:szCs w:val="32"/>
          <w:lang w:eastAsia="zh-CN"/>
        </w:rPr>
        <w:t>号）要求，现将</w:t>
      </w:r>
      <w:r>
        <w:rPr>
          <w:rFonts w:hint="eastAsia" w:ascii="Times New Roman" w:hAnsi="Times New Roman" w:eastAsia="方正仿宋_GBK" w:cs="Times New Roman"/>
          <w:sz w:val="32"/>
          <w:szCs w:val="32"/>
          <w:lang w:val="en-US" w:eastAsia="zh-CN"/>
        </w:rPr>
        <w:t>2022年省级财政衔接推进乡村振兴补助资金602</w:t>
      </w:r>
      <w:r>
        <w:rPr>
          <w:rFonts w:hint="default" w:ascii="Times New Roman" w:hAnsi="Times New Roman" w:eastAsia="方正仿宋_GBK" w:cs="Times New Roman"/>
          <w:sz w:val="32"/>
          <w:szCs w:val="32"/>
          <w:lang w:eastAsia="zh-CN"/>
        </w:rPr>
        <w:t>万元</w:t>
      </w:r>
      <w:r>
        <w:rPr>
          <w:rFonts w:hint="eastAsia" w:ascii="Times New Roman" w:hAnsi="Times New Roman" w:eastAsia="方正仿宋_GBK" w:cs="Times New Roman"/>
          <w:sz w:val="32"/>
          <w:szCs w:val="32"/>
          <w:lang w:eastAsia="zh-CN"/>
        </w:rPr>
        <w:t>下达你们单位</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详见附件），请列入2022年“213</w:t>
      </w:r>
      <w:r>
        <w:rPr>
          <w:rFonts w:hint="eastAsia" w:ascii="Times New Roman" w:hAnsi="Times New Roman" w:eastAsia="方正仿宋_GBK" w:cs="Times New Roman"/>
          <w:sz w:val="32"/>
          <w:szCs w:val="32"/>
          <w:lang w:val="en-US" w:eastAsia="zh-CN"/>
        </w:rPr>
        <w:t>05-巩固脱贫衔接乡村振兴</w:t>
      </w:r>
      <w:r>
        <w:rPr>
          <w:rFonts w:hint="eastAsia" w:ascii="Times New Roman" w:hAnsi="Times New Roman" w:eastAsia="方正仿宋_GBK" w:cs="Times New Roman"/>
          <w:sz w:val="32"/>
          <w:szCs w:val="32"/>
          <w:lang w:eastAsia="zh-CN"/>
        </w:rPr>
        <w:t>”功能分类科目</w:t>
      </w:r>
      <w:r>
        <w:rPr>
          <w:rFonts w:hint="eastAsia" w:ascii="Times New Roman" w:hAnsi="Times New Roman" w:eastAsia="方正仿宋_GBK" w:cs="方正仿宋_GBK"/>
          <w:sz w:val="32"/>
          <w:szCs w:val="32"/>
          <w:lang w:val="en-US" w:eastAsia="zh-CN"/>
        </w:rPr>
        <w:t>（“项级”科目根据具体实施项目确定），经济科目列“51301-上下级政府间转移性支出”。现就资金使用管理有关事宜通知如下：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一、切实管好用好衔接资金。</w:t>
      </w:r>
      <w:r>
        <w:rPr>
          <w:rFonts w:hint="eastAsia" w:ascii="Times New Roman" w:hAnsi="Times New Roman" w:eastAsia="方正仿宋_GBK" w:cs="方正仿宋_GBK"/>
          <w:sz w:val="32"/>
          <w:szCs w:val="32"/>
          <w:lang w:val="en-US" w:eastAsia="zh-CN"/>
        </w:rPr>
        <w:t>认真贯彻落实党中央、国务院和省委、省政府关于巩固拓展脱贫攻坚成果同乡村振兴有效衔接的决策部署，严格按照《云南省财政衔接推进乡村振兴补助资金管理办法》（云财农〔2021〕140号）规定安排使用资金，建立健全项目库，夯实项目前期工作，强化项目实施管理，加快资金下达和支出进度，落实绩效管理要求，强化跟踪督促，提升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二、优先支持产业发展增收。</w:t>
      </w:r>
      <w:r>
        <w:rPr>
          <w:rFonts w:hint="eastAsia" w:ascii="Times New Roman" w:hAnsi="Times New Roman" w:eastAsia="方正仿宋_GBK" w:cs="方正仿宋_GBK"/>
          <w:sz w:val="32"/>
          <w:szCs w:val="32"/>
          <w:lang w:val="en-US" w:eastAsia="zh-CN"/>
        </w:rPr>
        <w:t>贯彻落实中央和省委省政府关于更多依靠发展来巩固拓展脱贫攻坚成果的要求，省级衔接资金用于相关任务的资金要继续优先支持产业发展。2022年，用于产业发展的省级衔接资金占比不得低于下达你地区资金总规模的51%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三、支持市场主体纾困解难和脱贫人口就业增收。</w:t>
      </w:r>
      <w:r>
        <w:rPr>
          <w:rFonts w:hint="eastAsia" w:ascii="Times New Roman" w:hAnsi="Times New Roman" w:eastAsia="方正仿宋_GBK" w:cs="方正仿宋_GBK"/>
          <w:sz w:val="32"/>
          <w:szCs w:val="32"/>
          <w:lang w:val="en-US" w:eastAsia="zh-CN"/>
        </w:rPr>
        <w:t>为深入贯彻落实李克强总理考察云南重要指示精神，以及党中央、国务院和省委省政府稳住经济大盘决策部署，着力稳增长稳市场主体以保就业保民生，本次切块安排资金支持新型农业经营主体纾困解难和脱贫人口就业增收。各县市应按照衔接资金管理办法，重点通过以奖代补、贷款贴息、购买服务、生产奖补激励、农产品销售奖补等方式支持新型农业经营主体发展联农带农富农产业，以及通过发放一次性往返交通补助和劳务补助、吸纳就业奖补、安排公益岗位、开展生产经营和劳动技能培训、实施以工代赈等方式促进脱贫人口（含监测帮扶对象）就业增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四、及时兑付易地扶贫搬迁进城大型安置区物管费等减免补贴。</w:t>
      </w:r>
      <w:r>
        <w:rPr>
          <w:rFonts w:hint="eastAsia" w:ascii="Times New Roman" w:hAnsi="Times New Roman" w:eastAsia="方正仿宋_GBK" w:cs="方正仿宋_GBK"/>
          <w:sz w:val="32"/>
          <w:szCs w:val="32"/>
          <w:lang w:val="en-US" w:eastAsia="zh-CN"/>
        </w:rPr>
        <w:t>综合考虑2019—2020年度减免补贴资金兑付情况，采取“多退少补”方式下达各县市2021年度减免补贴资金。要严格按照《云南省易地扶贫搬迁“稳得住”工作方</w:t>
      </w:r>
      <w:r>
        <w:rPr>
          <w:rFonts w:hint="eastAsia" w:ascii="Times New Roman" w:hAnsi="Times New Roman" w:eastAsia="方正仿宋_GBK" w:cs="方正仿宋_GBK"/>
          <w:sz w:val="32"/>
          <w:szCs w:val="32"/>
          <w:lang w:eastAsia="zh-CN"/>
        </w:rPr>
        <w:t>案》和《云南省财政厅</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云南省发展和改革委员会</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云南省人民政府扶贫开发办公室关于加强和规范易地扶贫搬迁大型安置点搬迁贫困群众物管费等减免补贴资金管理的通知》要求和标准，尽快完成2021年度减免补贴资金兑付工作，确保补贴资金尽早惠及搬迁群众。对2019—2020年度未按比例兑付应由州、县（市）级承担减免补贴资金的，请各县市多渠遒抓紧筹措资金，在2022年7月30日前完成兑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eastAsia="zh-CN"/>
        </w:rPr>
        <w:t>五、实行脱贫县财政涉农资金统筹整合。</w:t>
      </w:r>
      <w:r>
        <w:rPr>
          <w:rFonts w:hint="eastAsia" w:ascii="Times New Roman" w:hAnsi="Times New Roman" w:eastAsia="方正仿宋_GBK" w:cs="方正仿宋_GBK"/>
          <w:sz w:val="32"/>
          <w:szCs w:val="32"/>
          <w:lang w:eastAsia="zh-CN"/>
        </w:rPr>
        <w:t>安排给88个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分配给整合试点脱贫县的资金一律采取“切块下达”，资金项目审批权限完全下放到县，不得以任何形式干扰整合试点工作脱贫县统筹整合使用资金。此次下达的资金因脱贫县涉农资金整合需调整绩效目标的，不再考核该部分资金对应的原任务完成情况，并按规定纳入相应部门绩致管理，请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eastAsia="zh-CN"/>
        </w:rPr>
        <w:t>六、支持现代化边境小康村建设。</w:t>
      </w:r>
      <w:r>
        <w:rPr>
          <w:rFonts w:hint="eastAsia" w:ascii="Times New Roman" w:hAnsi="Times New Roman" w:eastAsia="方正仿宋_GBK" w:cs="方正仿宋_GBK"/>
          <w:sz w:val="32"/>
          <w:szCs w:val="32"/>
          <w:lang w:eastAsia="zh-CN"/>
        </w:rPr>
        <w:t>此次资金分配下达已将现代化边境小康村建设任务纳入倾斜保障范围，合计下达</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个边境县市</w:t>
      </w:r>
      <w:r>
        <w:rPr>
          <w:rFonts w:hint="eastAsia" w:ascii="Times New Roman" w:hAnsi="Times New Roman" w:eastAsia="方正仿宋_GBK" w:cs="方正仿宋_GBK"/>
          <w:sz w:val="32"/>
          <w:szCs w:val="32"/>
          <w:lang w:val="en-US" w:eastAsia="zh-CN"/>
        </w:rPr>
        <w:t>34426</w:t>
      </w:r>
      <w:r>
        <w:rPr>
          <w:rFonts w:hint="eastAsia" w:ascii="Times New Roman" w:hAnsi="Times New Roman" w:eastAsia="方正仿宋_GBK" w:cs="方正仿宋_GBK"/>
          <w:sz w:val="32"/>
          <w:szCs w:val="32"/>
          <w:lang w:eastAsia="zh-CN"/>
        </w:rPr>
        <w:t>万元，其中：用于现代化边境小康村建设资金</w:t>
      </w:r>
      <w:r>
        <w:rPr>
          <w:rFonts w:hint="eastAsia" w:ascii="Times New Roman" w:hAnsi="Times New Roman" w:eastAsia="方正仿宋_GBK" w:cs="方正仿宋_GBK"/>
          <w:sz w:val="32"/>
          <w:szCs w:val="32"/>
          <w:lang w:val="en-US" w:eastAsia="zh-CN"/>
        </w:rPr>
        <w:t>31872</w:t>
      </w:r>
      <w:r>
        <w:rPr>
          <w:rFonts w:hint="eastAsia" w:ascii="Times New Roman" w:hAnsi="Times New Roman" w:eastAsia="方正仿宋_GBK" w:cs="方正仿宋_GBK"/>
          <w:sz w:val="32"/>
          <w:szCs w:val="32"/>
          <w:lang w:eastAsia="zh-CN"/>
        </w:rPr>
        <w:t>万元。请</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个边境县市做实现代化边境小康村建设项目，资金首先用于</w:t>
      </w:r>
      <w:r>
        <w:rPr>
          <w:rFonts w:hint="eastAsia" w:ascii="Times New Roman" w:hAnsi="Times New Roman" w:eastAsia="方正仿宋_GBK" w:cs="方正仿宋_GBK"/>
          <w:sz w:val="32"/>
          <w:szCs w:val="32"/>
          <w:lang w:val="en-US" w:eastAsia="zh-CN"/>
        </w:rPr>
        <w:t>57</w:t>
      </w:r>
      <w:r>
        <w:rPr>
          <w:rFonts w:hint="eastAsia" w:ascii="Times New Roman" w:hAnsi="Times New Roman" w:eastAsia="方正仿宋_GBK" w:cs="方正仿宋_GBK"/>
          <w:sz w:val="32"/>
          <w:szCs w:val="32"/>
          <w:lang w:eastAsia="zh-CN"/>
        </w:rPr>
        <w:t>个抵边行政村现代化边境小康村建设项目，在此前提下，再兼顾其他村，确保现代化边境小康村建设目标任务完成。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eastAsia="zh-CN"/>
        </w:rPr>
        <w:t>七、落实直达资金管理要求。</w:t>
      </w:r>
      <w:r>
        <w:rPr>
          <w:rFonts w:hint="eastAsia" w:ascii="Times New Roman" w:hAnsi="Times New Roman" w:eastAsia="方正仿宋_GBK" w:cs="方正仿宋_GBK"/>
          <w:sz w:val="32"/>
          <w:szCs w:val="32"/>
          <w:lang w:eastAsia="zh-CN"/>
        </w:rPr>
        <w:t>2022年起，省级衔接资金纳入直达资金管理（包括提前下达部分），请按照《财政部关于做好2022年财政资金直达工作的通知》（财办〔2022〕12号）和《云南省财政厅转发财政部关于做好2022年财政资金直达工作的通知》（云财预〔2022〕51号）要求做好相关工作。各级财政部门在向下级下达资金时，应单独下达预算指标文件，并保持直达资金标识不变，贯穿资金分配、拨付、使用等整个环节。同时，在指标管理系统中及时录入有关指标和直达资金标识，导入直达资金监控系统，确保数据真实、账目清晰、流向明确。</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color w:val="000000"/>
          <w:kern w:val="2"/>
          <w:sz w:val="32"/>
          <w:szCs w:val="32"/>
          <w:lang w:val="en-US" w:eastAsia="zh-CN" w:bidi="ar"/>
        </w:rPr>
        <w:t>根据</w:t>
      </w:r>
      <w:r>
        <w:rPr>
          <w:rFonts w:hint="eastAsia" w:ascii="方正仿宋_GBK" w:hAnsi="方正仿宋_GBK" w:eastAsia="方正仿宋_GBK" w:cs="方正仿宋_GBK"/>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629" w:leftChars="304" w:hanging="960" w:hangingChars="3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附件：1.梁河县2022年省级财政衔接推进乡村振兴补助资金分配表</w:t>
      </w:r>
    </w:p>
    <w:p>
      <w:pPr>
        <w:keepNext w:val="0"/>
        <w:keepLines w:val="0"/>
        <w:pageBreakBefore w:val="0"/>
        <w:widowControl w:val="0"/>
        <w:kinsoku/>
        <w:wordWrap/>
        <w:overflowPunct/>
        <w:topLinePunct w:val="0"/>
        <w:autoSpaceDE/>
        <w:autoSpaceDN/>
        <w:bidi w:val="0"/>
        <w:adjustRightInd/>
        <w:snapToGrid/>
        <w:spacing w:line="560" w:lineRule="exact"/>
        <w:ind w:left="1992" w:leftChars="760" w:hanging="320" w:hangingChars="100"/>
        <w:textAlignment w:val="auto"/>
        <w:rPr>
          <w:rFonts w:hint="eastAsia" w:ascii="Times New Roman" w:hAnsi="Times New Roman" w:eastAsia="方正仿宋_GBK" w:cs="方正仿宋_GBK"/>
          <w:spacing w:val="-20"/>
          <w:sz w:val="32"/>
          <w:szCs w:val="32"/>
          <w:lang w:eastAsia="zh-CN"/>
        </w:rPr>
      </w:pPr>
      <w:r>
        <w:rPr>
          <w:rFonts w:hint="eastAsia" w:ascii="Times New Roman" w:hAnsi="Times New Roman" w:eastAsia="方正仿宋_GBK" w:cs="方正仿宋_GBK"/>
          <w:sz w:val="32"/>
          <w:szCs w:val="32"/>
          <w:lang w:eastAsia="zh-CN"/>
        </w:rPr>
        <w:t>2.</w:t>
      </w:r>
      <w:r>
        <w:rPr>
          <w:rFonts w:hint="eastAsia" w:ascii="Times New Roman" w:hAnsi="Times New Roman" w:eastAsia="方正仿宋_GBK" w:cs="方正仿宋_GBK"/>
          <w:spacing w:val="-20"/>
          <w:sz w:val="32"/>
          <w:szCs w:val="32"/>
          <w:lang w:eastAsia="zh-CN"/>
        </w:rPr>
        <w:t>2022年省级财政衔接推进乡村振兴补助资金绩效目标表</w:t>
      </w:r>
    </w:p>
    <w:p>
      <w:pPr>
        <w:keepNext w:val="0"/>
        <w:keepLines w:val="0"/>
        <w:pageBreakBefore w:val="0"/>
        <w:widowControl w:val="0"/>
        <w:kinsoku/>
        <w:wordWrap/>
        <w:overflowPunct/>
        <w:topLinePunct w:val="0"/>
        <w:autoSpaceDE/>
        <w:autoSpaceDN/>
        <w:bidi w:val="0"/>
        <w:adjustRightInd w:val="0"/>
        <w:snapToGrid w:val="0"/>
        <w:spacing w:line="600" w:lineRule="exact"/>
        <w:ind w:left="988" w:leftChars="449" w:firstLine="640" w:firstLineChars="200"/>
        <w:jc w:val="both"/>
        <w:textAlignment w:val="auto"/>
        <w:rPr>
          <w:rFonts w:hint="eastAsia" w:ascii="Times New Roman" w:hAnsi="Times New Roman" w:eastAsia="方正仿宋_GBK" w:cs="方正仿宋_GBK"/>
          <w:sz w:val="32"/>
          <w:szCs w:val="32"/>
          <w:lang w:val="en-US" w:eastAsia="zh-CN"/>
        </w:rPr>
      </w:pPr>
      <w:r>
        <w:rPr>
          <w:sz w:val="32"/>
        </w:rPr>
        <w:pict>
          <v:rect id="KG_Shd_5" o:spid="_x0000_s1030" o:spt="1" style="position:absolute;left:0pt;margin-left:-297.65pt;margin-top:-420.95pt;height:1683.8pt;width:1190.6pt;visibility:hidden;z-index:-25165721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Times New Roman" w:hAnsi="Times New Roman" w:eastAsia="方正仿宋_GBK" w:cs="方正仿宋_GBK"/>
          <w:sz w:val="32"/>
          <w:szCs w:val="32"/>
          <w:lang w:val="en-US" w:eastAsia="zh-CN"/>
        </w:rPr>
        <w:t>3.梁河县</w:t>
      </w:r>
      <w:r>
        <w:rPr>
          <w:rFonts w:hint="eastAsia" w:ascii="Times New Roman" w:hAnsi="Times New Roman" w:eastAsia="方正仿宋_GBK" w:cs="方正仿宋_GBK"/>
          <w:spacing w:val="-20"/>
          <w:sz w:val="32"/>
          <w:szCs w:val="32"/>
          <w:lang w:eastAsia="zh-CN"/>
        </w:rPr>
        <w:t>2022年省级财政衔接推进乡村振兴补助资金</w:t>
      </w:r>
      <w:r>
        <w:rPr>
          <w:rFonts w:hint="eastAsia" w:ascii="Times New Roman" w:hAnsi="Times New Roman" w:eastAsia="方正仿宋_GBK" w:cs="方正仿宋_GBK"/>
          <w:sz w:val="32"/>
          <w:szCs w:val="32"/>
          <w:lang w:val="en-US" w:eastAsia="zh-CN"/>
        </w:rPr>
        <w:t>部门绩效目标表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val="en-US" w:eastAsia="zh-CN"/>
        </w:rPr>
        <w:t>日</w:t>
      </w:r>
    </w:p>
    <w:p>
      <w:pPr>
        <w:spacing w:line="220" w:lineRule="atLeast"/>
        <w:rPr>
          <w:rFonts w:hint="default" w:eastAsia="微软雅黑"/>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zJiZTU2NDY3ZjVhNmJkYzY4Yjc5YzFkM2Y1ZmUxNjEifQ=="/>
  </w:docVars>
  <w:rsids>
    <w:rsidRoot w:val="00000000"/>
    <w:rsid w:val="00323B43"/>
    <w:rsid w:val="003D37D8"/>
    <w:rsid w:val="00426133"/>
    <w:rsid w:val="004358AB"/>
    <w:rsid w:val="008B7726"/>
    <w:rsid w:val="00C30D93"/>
    <w:rsid w:val="00D31D50"/>
    <w:rsid w:val="012C1C62"/>
    <w:rsid w:val="29E62E85"/>
    <w:rsid w:val="34624E04"/>
    <w:rsid w:val="46130922"/>
    <w:rsid w:val="4CA86A28"/>
    <w:rsid w:val="5ADF1BC9"/>
    <w:rsid w:val="5E02566E"/>
    <w:rsid w:val="7D76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widowControl w:val="0"/>
      <w:tabs>
        <w:tab w:val="center" w:pos="4153"/>
        <w:tab w:val="right" w:pos="8306"/>
      </w:tabs>
      <w:adjustRightInd/>
      <w:snapToGrid w:val="0"/>
      <w:spacing w:after="0" w:line="240" w:lineRule="auto"/>
      <w:jc w:val="left"/>
    </w:pPr>
    <w:rPr>
      <w:rFonts w:ascii="Calibri" w:hAnsi="Calibri" w:eastAsia="宋体" w:cs="Times New Roman"/>
      <w:kern w:val="2"/>
      <w:sz w:val="18"/>
      <w:szCs w:val="18"/>
    </w:rPr>
  </w:style>
  <w:style w:type="character" w:styleId="5">
    <w:name w:val="page number"/>
    <w:basedOn w:val="4"/>
    <w:autoRedefine/>
    <w:qFormat/>
    <w:uiPriority w:val="0"/>
    <w:rPr>
      <w:rFonts w:ascii="Times New Roman" w:hAnsi="Times New Roman" w:eastAsia="宋体" w:cs="Times New Roman"/>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autoRedefine/>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7">
    <w:name w:val="图表目录1"/>
    <w:basedOn w:val="6"/>
    <w:next w:val="1"/>
    <w:autoRedefine/>
    <w:qFormat/>
    <w:uiPriority w:val="0"/>
    <w:pPr>
      <w:ind w:left="200" w:leftChars="200" w:hanging="200" w:hanging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杨连富</cp:lastModifiedBy>
  <dcterms:modified xsi:type="dcterms:W3CDTF">2024-04-09T08:25:20Z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F256ED058A654BC89711AAFF47E1C812_12</vt:lpwstr>
  </property>
</Properties>
</file>