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68"/>
        <w:gridCol w:w="4299"/>
        <w:gridCol w:w="819"/>
        <w:gridCol w:w="851"/>
        <w:gridCol w:w="1417"/>
        <w:gridCol w:w="1276"/>
        <w:gridCol w:w="184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ahoma"/>
                <w:b/>
                <w:bCs/>
                <w:color w:val="000000"/>
                <w:sz w:val="40"/>
                <w:szCs w:val="40"/>
              </w:rPr>
              <w:t>6-10 州本级项目支出绩效目标表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单位名称：司法局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单位：万元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单位名称、项目名称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项目目标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一级指标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二级指标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三级指标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指标值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绩效指标值设定依据及数据来源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说明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1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2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3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4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5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6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7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8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行财社保股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司法局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司法局机关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制作宣传册数量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制作宣传册数量480册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制作宣传标语数量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制作宣传标语数量15条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承办法律援助案件数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承办法律援助案件数120件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开展法律援助宣传活动次数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开展法律援助宣传活动次数11次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服务对象满意度指标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法律援助服务群众满意度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经回访受援人员对案件办理的满意度高于90%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法律援助经费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法律援助机构承办法律援助业务必需的费用，包括办理法律援助案件所支出的住宿费、交通费、文印费、通讯费、调查取证费、伙食补助费等；2.指派法律援助人员的办案补贴费用；3.开展法律援助宣传、培训、调研等费用；4.对法律援助工作成绩突出的单位和个人的表彰、奖励费用；5.开展法律援助工作必须开支的其他费用。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社会效益指标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努力实现“应援尽援”，维护社会公平正义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全县法律援助受援人数逐年增加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社区矫正经费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1.对社区服刑对象进行监督和管理，确保刑罚正确实施；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2.对社区服刑对象进行思想教育、法制教育、文化教育、职业技术教育，矫正其犯罪心理和行为恶习，使他们成为守法公民；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3.对社区服刑对象在就学、结业、生活和心理等方面的困难好问题提供帮助，促使他们适应社会生活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社区服刑人员集中教育培训次数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社区服刑人员集中教育培训次数100次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社区矫正经费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1.对社区服刑对象进行监督和管理，确保刑罚正确实施；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2.对社区服刑对象进行思想教育、法制教育、文化教育、职业技术教育，矫正其犯罪心理和行为恶习，使他们成为守法公民；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3.对社区服刑对象在就学、结业、生活和心理等方面的困难好问题提供帮助，促使他们适应社会生活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社会效益指标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规范社区矫正规范化执法活动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推进全县社会治安防控体系建设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开展普法联络员培训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10场次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到乡镇开展普法宣传活动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30场次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制作法律宣传册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100000份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制作宣传布标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100条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质量指标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群众法制观念和法律意识明显增强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减少违法犯罪行为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服务对象满意度指标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全县普法服务对象满意度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接收普法宣传服务对象对普法宣传工作满意度达不低于90%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普法宣传教育经费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目标一：多渠道搭建法制宣传平台，全民落实“谁执法谁普法”的普法责任制，切实提高普法实效目标二：全面推进普法宣传教育工作，引导全县人民增强法治观念，坚定法治信仰，全面推进依法治县工作目标三：建设青少年法治教育基地、重点活动场所、村寨法治宣传教育基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社会效益指标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全县广大群众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全县违法犯罪案件逐年下降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安置帮教经费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1.健全完善刑满释放人员衔接制度；2.加强刑满释放人员就业安置和社会救助工作；3.积极推进刑满释放人员安置基地建设；4.加强安置帮教工作信息化建设；5.进一步深入开展服刑人员未成年子女排查帮扶工作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产出指标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数量指标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组织全县刑满释放人员次数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组织全县刑满释放人员次数8次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安置帮教经费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1.健全完善刑满释放人员衔接制度；2.加强刑满释放人员就业安置和社会救助工作；3.积极推进刑满释放人员安置基地建设；4.加强安置帮教工作信息化建设；5.进一步深入开展服刑人员未成年子女排查帮扶工作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服务对象满意度指标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刑满释放人员对于安置帮教工作人员的服务评价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刑满释放人员对于安置帮教工作人员的服务评价高于90%</w:t>
            </w:r>
            <w:r>
              <w:rPr>
                <w:rFonts w:eastAsia="宋体" w:cs="Tahom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2206" w:type="dxa"/>
          <w:trHeight w:val="1140" w:hRule="atLeast"/>
        </w:trPr>
        <w:tc>
          <w:tcPr>
            <w:tcW w:w="1701" w:type="dxa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F9"/>
    <w:rsid w:val="00323B43"/>
    <w:rsid w:val="003D37D8"/>
    <w:rsid w:val="004358AB"/>
    <w:rsid w:val="008626F9"/>
    <w:rsid w:val="008B7726"/>
    <w:rsid w:val="00D23174"/>
    <w:rsid w:val="692C1B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497</Words>
  <Characters>2839</Characters>
  <Lines>23</Lines>
  <Paragraphs>6</Paragraphs>
  <TotalTime>0</TotalTime>
  <ScaleCrop>false</ScaleCrop>
  <LinksUpToDate>false</LinksUpToDate>
  <CharactersWithSpaces>3330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2019-12-20T11:53:00Z</dcterms:created>
  <dc:creator>good</dc:creator>
  <cp:lastModifiedBy>Administrator</cp:lastModifiedBy>
  <dcterms:modified xsi:type="dcterms:W3CDTF">2020-01-06T01:54:19Z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