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215：占用农业灌溉水源、灌排工程设施审批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default" w:ascii="宋体" w:hAnsi="宋体" w:eastAsia="方正小标宋_GBK" w:cs="方正小标宋_GBK"/>
          <w:b w:val="0"/>
          <w:bCs w:val="0"/>
          <w:strike w:val="0"/>
          <w:dstrike w:val="0"/>
          <w:color w:val="00000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占用农业灌溉水源、灌排工程设施审批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20" w:firstLineChars="15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1.占用农业灌溉水源、灌排工程设施审批（县级权限）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both"/>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占用农业灌溉水源、灌排工程设施审批（县级权限）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【000119117003】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占用农业灌溉水源、灌排工程设施审批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00011911700Y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占用农业灌溉水源、灌排工程设施审批（县级权限）【000119117003】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占用农业灌溉水源、灌排工程设施审批（县级权限）(00011911700301)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（1）《国务院对确需保留的行政审批项目设定行政许可的决定》附件第170项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（1）《中华人民共和国水法》第35条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（3）《农田水利条例》第24条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（4）《国务院对确需保留的行政审批项目设定行政许可的决定》附件第170项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（5）《国务院关于取消和下放一批行政审批项目的决定》（国发〔2014〕5号）附件第28项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（2）《农田水利条例》第43条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（3）《水行政许可实施办法》（水利部令第23号）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占用农业灌溉水源、灌排工程设施审批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占用农业灌溉水源、灌排工程设施确有需要且无法规避</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相关工程审批程序完备</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补偿协议经利益相关方签订达成一致意见，且不影响第三人合法权益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替代工程技术可行，与被占用农业灌溉水源工程、灌排工程设施效益相当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（1）《农田水利条例》　第24条任何单位和个人不得擅自占用农业灌溉水源、农田水利工程设施。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新建、改建、扩建建设工程确需占用农业灌溉水源、农田水利工程设施的，应当与取用水的单位、个人或者农田水利工程所有权人协商，并报经有管辖权的县级以上地方人民政府水行政主管部门同意。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占用者应当建设与被占用的农田水利工程设施效益和功能相当的替代工程；不具备建设替代工程条件的，应当按照建设替代工程的总投资额支付占用补偿费；造成运行成本增加等其他损失的，应当依法给予补偿。补偿标准由省、自治区、直辖市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对占用农业灌溉水源、灌排工程设施的审批时限由20个工作日压减至18个工作日。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占用农业灌溉水源、灌排工程设施的有关要求，包括事后备案审查、加强日常监管等内容。2．对修建替代工程的，在设计阶段严格按相关技术标准把关，确保与被占用工程效益和功能相当。3.督促农业灌溉水源、灌排工程设施管理单位加强日常巡查和维护，促进工程良性运行。4.加大监管力度，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申请书(原件）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替代工程初步设计报告有关材料（报批稿，初步设计报告、图集、概算）</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替代工程初步设计报告有关材料技术审查意见及复核意见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附件材料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 建设项目所依据的可行性研究报告批文或初步设计批文；2. 评估机构评定的补偿方案；3. 被占用农业灌溉水源、灌排工程设施的权属证明；4. 被占用农业灌溉水源、灌排工程设施涉及利害关系各方的协议（承诺）书；5. 替代工程取水许可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申请人的统一社会信用代码证复印件（加盖公章，申请人为个人的提供身份证复印件）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（1）目前无相关的规范性文件作为依据。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 [1]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（2）《水行政许可实施办法》（水利部令第23号）第17条、第18条、第19条、第20条、第21条、第23条、第24条、第27条、第28条、第32条、第34条第17条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第19条　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第20条　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（一）委托人和代理人的基本情况；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（二）代为提出水行政许可申请、递交有关材料、收受法律文书、接受询问等代理事项和代理权限；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（三）代理起止日期。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第21条　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水行政许可实施机关应当根据申请人的要求，对公示内容予以说明、解释。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第28条　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　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依法进行专家评审另需时间不超过10个工作日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依法进行专家评审另需时间不计算在该时限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lang w:val="en-US" w:eastAsia="zh-CN"/>
        </w:rPr>
        <w:t>无依据，确有必要。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w:t>
      </w:r>
      <w:r>
        <w:rPr>
          <w:rFonts w:hint="eastAsia" w:ascii="宋体" w:hAnsi="宋体" w:eastAsia="方正仿宋_GBK" w:cs="方正仿宋_GBK"/>
          <w:b w:val="0"/>
          <w:bCs w:val="0"/>
          <w:strike/>
          <w:dstrike w:val="0"/>
          <w:color w:val="000000"/>
          <w:sz w:val="28"/>
          <w:szCs w:val="28"/>
          <w:lang w:val="en-US" w:eastAsia="zh-CN"/>
        </w:rPr>
        <w:t>国</w:t>
      </w:r>
      <w:r>
        <w:rPr>
          <w:rFonts w:hint="eastAsia" w:ascii="宋体" w:hAnsi="宋体" w:eastAsia="方正仿宋_GBK" w:cs="方正仿宋_GBK"/>
          <w:b w:val="0"/>
          <w:bCs w:val="0"/>
          <w:strike w:val="0"/>
          <w:dstrike w:val="0"/>
          <w:color w:val="000000"/>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　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　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按照《德宏州人民政府关于赋予中国（云南）自由贸易试验区德宏片区管理委员会行使部分州级行政职权事项（第三批）和调整完善原州级赋权事项的决定》（德政发〔2023〕19号），其中大（2）型水利工程及跨县灌排工程设施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占用农业灌溉水源、灌排工程设施审批（县级权限）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【00011911700301】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占用农业灌溉水源、灌排工程设施审批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00011911700Y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占用农业灌溉水源、灌排工程设施审批（县级权限）【000119117003】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占用农业灌溉水源、灌排工程设施审批（县级权限）(00011911700301)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（1）《国务院对确需保留的行政审批项目设定行政许可的决定》附件第170项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（1）《中华人民共和国水法》第35条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（3）《农田水利条例》第24条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（4）《国务院对确需保留的行政审批项目设定行政许可的决定》附件第170项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（5）《国务院关于取消和下放一批行政审批项目的决定》（国发〔2014〕5号）附件第28项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（2）《农田水利条例》第43条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（3）《水行政许可实施办法》（水利部令第23号）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占用农业灌溉水源、灌排工程设施审批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占用农业灌溉水源、灌排工程设施确有需要且无法规避</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相关工程审批程序完备</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补偿协议经利益相关方签订达成一致意见，且不影响第三人合法权益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替代工程技术可行，与被占用农业灌溉水源工程、灌排工程设施效益相当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（1）《农田水利条例》　第24条任何单位和个人不得擅自占用农业灌溉水源、农田水利工程设施。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新建、改建、扩建建设工程确需占用农业灌溉水源、农田水利工程设施的，应当与取用水的单位、个人或者农田水利工程所有权人协商，并报经有管辖权的县级以上地方人民政府水行政主管部门同意。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占用者应当建设与被占用的农田水利工程设施效益和功能相当的替代工程；不具备建设替代工程条件的，应当按照建设替代工程的总投资额支付占用补偿费；造成运行成本增加等其他损失的，应当依法给予补偿。补偿标准由省、自治区、直辖市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对占用农业灌溉水源、灌排工程设施的审批时限由20个工作日压减至18个工作日。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占用农业灌溉水源、灌排工程设施的有关要求，包括事后备案审查、加强日常监管等内容。2．对修建替代工程的，在设计阶段严格按相关技术标准把关，确保与被占用工程效益和功能相当。3.督促农业灌溉水源、灌排工程设施管理单位加强日常巡查和维护，促进工程良性运行。4.加大监管力度，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（申请书(原件）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替代工程初步设计报告有关材料（报批稿，初步设计报告、图集、概算）</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替代工程初步设计报告有关材料技术审查意见及复核意见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附件材料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 建设项目所依据的可行性研究报告批文或初步设计批文；2. 评估机构评定的补偿方案；3. 被占用农业灌溉水源、灌排工程设施的权属证明；4. 被占用农业灌溉水源、灌排工程设施涉及利害关系各方的协议（承诺）书；5. 替代工程取水许可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申请人的统一社会信用代码证复印件（加盖公章，申请人为个人的提供身份证复印件）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（1）目前无相关的规范性文件作为依据。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 [1]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《水行政许可实施办法》（水利部令第23号）第17条、第18条、第19条、第20条、第21条、第23条、第24条、第27条、第28条、第32条、第34条第17条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第19条　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第20条　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（一）委托人和代理人的基本情况；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（二）代为提出水行政许可申请、递交有关材料、收受法律文书、接受询问等代理事项和代理权限；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（三）代理起止日期。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第21条　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水行政许可实施机关应当根据申请人的要求，对公示内容予以说明、解释。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第28条　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　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依法进行专家评审另需时间不超过10个工作日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依法进行专家评审另需时间不计算在该时限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（1）无依据，确有必要。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　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　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按照《德宏州人民政府关于赋予中国（云南）自由贸易试验区德宏片区管理委员会行使部分州级行政职权事项（第三批）和调整完善原州级赋权事项的决定》（德政发〔2023〕19号），其中大（2）型水利工程及跨县灌排工程设施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DDF20FD"/>
    <w:rsid w:val="0DFF7EAD"/>
    <w:rsid w:val="0F773642"/>
    <w:rsid w:val="12982B4B"/>
    <w:rsid w:val="137FFE78"/>
    <w:rsid w:val="13E84F20"/>
    <w:rsid w:val="1B9B4230"/>
    <w:rsid w:val="1BF91D65"/>
    <w:rsid w:val="26E24EDA"/>
    <w:rsid w:val="27B73C18"/>
    <w:rsid w:val="27FFADE9"/>
    <w:rsid w:val="2B75A621"/>
    <w:rsid w:val="2CF80706"/>
    <w:rsid w:val="2FAF4B02"/>
    <w:rsid w:val="379F1A71"/>
    <w:rsid w:val="380D4AD8"/>
    <w:rsid w:val="3D7D5435"/>
    <w:rsid w:val="3D94095A"/>
    <w:rsid w:val="3DDB0BA4"/>
    <w:rsid w:val="3EDE55CF"/>
    <w:rsid w:val="3EFCC841"/>
    <w:rsid w:val="3FB12F1A"/>
    <w:rsid w:val="3FEFC617"/>
    <w:rsid w:val="52A6501B"/>
    <w:rsid w:val="577DB212"/>
    <w:rsid w:val="577F8560"/>
    <w:rsid w:val="57E4CCD9"/>
    <w:rsid w:val="57ED7290"/>
    <w:rsid w:val="57EE278D"/>
    <w:rsid w:val="58BDEDEA"/>
    <w:rsid w:val="5AB3A1DF"/>
    <w:rsid w:val="5BD3C20E"/>
    <w:rsid w:val="5BF7F0BC"/>
    <w:rsid w:val="5C3E098F"/>
    <w:rsid w:val="5D037C86"/>
    <w:rsid w:val="5DDFD6DF"/>
    <w:rsid w:val="5DEFD9F4"/>
    <w:rsid w:val="5DF7E2E6"/>
    <w:rsid w:val="5E7046A5"/>
    <w:rsid w:val="5F4D3A69"/>
    <w:rsid w:val="5F7B72DD"/>
    <w:rsid w:val="5FF2B76B"/>
    <w:rsid w:val="5FFFD230"/>
    <w:rsid w:val="65CA2668"/>
    <w:rsid w:val="67DF76B2"/>
    <w:rsid w:val="67FE3EE5"/>
    <w:rsid w:val="6B1A87ED"/>
    <w:rsid w:val="6C6D4FD7"/>
    <w:rsid w:val="6DA3DD5C"/>
    <w:rsid w:val="6DF22C17"/>
    <w:rsid w:val="6E4FD61B"/>
    <w:rsid w:val="6E8B4C88"/>
    <w:rsid w:val="6EB7FB5A"/>
    <w:rsid w:val="6EF869E4"/>
    <w:rsid w:val="6FE3B357"/>
    <w:rsid w:val="6FEF86D8"/>
    <w:rsid w:val="6FFBAD7F"/>
    <w:rsid w:val="6FFD844A"/>
    <w:rsid w:val="72EFDC53"/>
    <w:rsid w:val="73EDD447"/>
    <w:rsid w:val="75FFD70D"/>
    <w:rsid w:val="76FF384E"/>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D8B1772"/>
    <w:rsid w:val="7DFF1704"/>
    <w:rsid w:val="7DFFE16F"/>
    <w:rsid w:val="7EB71E8A"/>
    <w:rsid w:val="7EBB8F96"/>
    <w:rsid w:val="7EED97FE"/>
    <w:rsid w:val="7EFB5555"/>
    <w:rsid w:val="7EFF8A91"/>
    <w:rsid w:val="7F56F69E"/>
    <w:rsid w:val="7F87355D"/>
    <w:rsid w:val="7FA9B766"/>
    <w:rsid w:val="7FBF0C3A"/>
    <w:rsid w:val="7FED99DA"/>
    <w:rsid w:val="7FEE461F"/>
    <w:rsid w:val="7FFFCAF1"/>
    <w:rsid w:val="97F79D18"/>
    <w:rsid w:val="98D797E2"/>
    <w:rsid w:val="9D6D210B"/>
    <w:rsid w:val="9EFEDA3D"/>
    <w:rsid w:val="9EFFC22B"/>
    <w:rsid w:val="9F469BF7"/>
    <w:rsid w:val="9FDE29C3"/>
    <w:rsid w:val="A27B0905"/>
    <w:rsid w:val="A4E23484"/>
    <w:rsid w:val="A8FF37E2"/>
    <w:rsid w:val="AB7FC20D"/>
    <w:rsid w:val="AC3068C5"/>
    <w:rsid w:val="ACFD0C77"/>
    <w:rsid w:val="ADFB8421"/>
    <w:rsid w:val="AEF91291"/>
    <w:rsid w:val="AFE778D7"/>
    <w:rsid w:val="AFFB605F"/>
    <w:rsid w:val="B79F99C5"/>
    <w:rsid w:val="B7EF7751"/>
    <w:rsid w:val="BBEBFA39"/>
    <w:rsid w:val="BDFF8F66"/>
    <w:rsid w:val="C3F6CEE2"/>
    <w:rsid w:val="CCEFE2C5"/>
    <w:rsid w:val="CDB19C70"/>
    <w:rsid w:val="CDFD31C3"/>
    <w:rsid w:val="CF3B17D2"/>
    <w:rsid w:val="CFAF8814"/>
    <w:rsid w:val="D4AF6E71"/>
    <w:rsid w:val="D5D5EE3E"/>
    <w:rsid w:val="D6BF8B20"/>
    <w:rsid w:val="D7EEB582"/>
    <w:rsid w:val="D9D7CA82"/>
    <w:rsid w:val="DCFDA5F2"/>
    <w:rsid w:val="DDACCE71"/>
    <w:rsid w:val="DDEEB317"/>
    <w:rsid w:val="DED32E81"/>
    <w:rsid w:val="DFBF31A5"/>
    <w:rsid w:val="DFBF37B5"/>
    <w:rsid w:val="DFDF1323"/>
    <w:rsid w:val="DFF72408"/>
    <w:rsid w:val="E777676D"/>
    <w:rsid w:val="E9F3B933"/>
    <w:rsid w:val="EADB57B7"/>
    <w:rsid w:val="EBD74294"/>
    <w:rsid w:val="ED3C5FBB"/>
    <w:rsid w:val="ED7F9FFE"/>
    <w:rsid w:val="EE5EFFC7"/>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9BB3A9A"/>
    <w:rsid w:val="FAF72E42"/>
    <w:rsid w:val="FAFDE12F"/>
    <w:rsid w:val="FB7F6C85"/>
    <w:rsid w:val="FBD72D68"/>
    <w:rsid w:val="FBE99A64"/>
    <w:rsid w:val="FBEC2DF5"/>
    <w:rsid w:val="FCAB614D"/>
    <w:rsid w:val="FD3FB9E8"/>
    <w:rsid w:val="FD9BAA01"/>
    <w:rsid w:val="FDB8BDED"/>
    <w:rsid w:val="FDBF1CBE"/>
    <w:rsid w:val="FDFF79DD"/>
    <w:rsid w:val="FDFFCC53"/>
    <w:rsid w:val="FE5F7A5B"/>
    <w:rsid w:val="FE617381"/>
    <w:rsid w:val="FEBE7608"/>
    <w:rsid w:val="FED1266F"/>
    <w:rsid w:val="FF5AD335"/>
    <w:rsid w:val="FF77798A"/>
    <w:rsid w:val="FF9F218C"/>
    <w:rsid w:val="FFA1A6B2"/>
    <w:rsid w:val="FFB73ACB"/>
    <w:rsid w:val="FFCC01A5"/>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5C337F419ECE4A8D9D70542D257C7275_12</vt:lpwstr>
  </property>
</Properties>
</file>