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200" w:firstLineChars="300"/>
        <w:textAlignment w:val="auto"/>
        <w:outlineLvl w:val="1"/>
        <w:rPr>
          <w:rFonts w:hint="default" w:ascii="宋体" w:hAnsi="宋体" w:eastAsia="方正小标宋_GBK" w:cs="方正小标宋_GBK"/>
          <w:b w:val="0"/>
          <w:bCs w:val="0"/>
          <w:strike w:val="0"/>
          <w:dstrike w:val="0"/>
          <w:color w:val="000000"/>
          <w:sz w:val="40"/>
          <w:szCs w:val="40"/>
          <w:lang w:val="en-US" w:eastAsia="zh-CN"/>
        </w:rPr>
      </w:pPr>
      <w:r>
        <w:rPr>
          <w:rFonts w:hint="eastAsia" w:ascii="宋体" w:hAnsi="宋体" w:eastAsia="方正小标宋_GBK" w:cs="方正小标宋_GBK"/>
          <w:b w:val="0"/>
          <w:bCs w:val="0"/>
          <w:strike w:val="0"/>
          <w:dstrike w:val="0"/>
          <w:color w:val="000000"/>
          <w:sz w:val="40"/>
          <w:szCs w:val="40"/>
          <w:lang w:val="en-US" w:eastAsia="zh-CN"/>
        </w:rPr>
        <w:t>216：利用堤顶、戗台兼做公路审批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小标宋_GBK" w:cs="方正小标宋_GBK"/>
          <w:b w:val="0"/>
          <w:bCs w:val="0"/>
          <w:strike w:val="0"/>
          <w:dstrike w:val="0"/>
          <w:color w:val="000000"/>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楷体_GBK" w:cs="方正楷体_GBK"/>
          <w:b w:val="0"/>
          <w:bCs w:val="0"/>
          <w:strike w:val="0"/>
          <w:dstrike w:val="0"/>
          <w:color w:val="000000"/>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利用堤顶、戗台兼做公路审批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州水利局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县级河道主管机关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《中华人民共和国河道管理条例》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1.利用堤顶、戗台兼做公路审批（县级权限）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sz w:val="28"/>
          <w:szCs w:val="28"/>
          <w:lang w:val="en-US" w:eastAsia="zh-CN"/>
        </w:rPr>
      </w:pPr>
    </w:p>
    <w:p>
      <w:pPr>
        <w:jc w:val="center"/>
        <w:rPr>
          <w:rFonts w:hint="eastAsia" w:ascii="宋体" w:hAnsi="宋体" w:eastAsia="方正小标宋_GBK" w:cs="方正小标宋_GBK"/>
          <w:b w:val="0"/>
          <w:bCs w:val="0"/>
          <w:strike w:val="0"/>
          <w:dstrike w:val="0"/>
          <w:color w:val="000000"/>
          <w:sz w:val="40"/>
          <w:szCs w:val="40"/>
          <w:lang w:eastAsia="zh-CN"/>
        </w:rPr>
      </w:pP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利用堤顶、戗台兼做公路审批（县级权限）</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【000119118003】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利用堤顶、戗台兼做公路审批</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00011911800Y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利用堤顶、戗台兼做公路审批（县级权限）【000119118003】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利用堤顶、戗台兼做公路审批（县级权限）(00011911800301)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（1）《中华人民共和国河道管理条例》第15条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（1）《中华人民共和国行政许可法》第29条、第30条、第31条、第32条、第34条、第36条、第37条、第38条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（2）《中华人民共和国河道管理条例》第15条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（2）《国务院关于取消一批行政许可事项的决定》（国发〔2017〕46号）附件第39项</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县级河道主管机关</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利用堤顶、戗台兼做公路审批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（1）符合江河流域综合规划、防洪规划、河道治理规划、岸线保护与开发利用规划等规划要求，对规划实施无不利影响；</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（2）项目防御洪涝的设防标准与措施符合防洪（排涝）标准；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（3）对河道泄洪能力、河势稳定、河道冲淤变化、堤防护岸和其它水工程安全、防汛抢险无不利影响或影响较小；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（4）不影响第三人合法水事权益或已采取相应补救措施。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eastAsia" w:ascii="宋体" w:hAnsi="宋体" w:eastAsia="方正仿宋_GBK" w:cs="方正仿宋_GBK"/>
          <w:b w:val="0"/>
          <w:bCs w:val="0"/>
          <w:strike w:val="0"/>
          <w:dstrike w:val="0"/>
          <w:color w:val="000000"/>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审批时限由20个工作日压减至18个工作日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制定完善堤防兼做公路的有关要求，包括事后备案审查、加强日常监管等内容。2．对新建堤防拟兼做公路的，在设计阶段严格按相关技术标准把关。3．对现有堤防，已兼做公路的，要求堤防管理单位按标准要求进行自查；拟兼做公路的，堤防管理单位要进行安全性论证，采取有关安全防护措施，并向上级主管部门进行事后备案。4．督促堤防管理单位加强日常巡查，定期进行堤防安全鉴定，严格控制超限、超重车辆通行。5．通过现场检查、定期或不定期抽查等方式加强监管，严厉处罚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（1）利用堤顶、戗台兼做公路审批申请表（一式1份）；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（2）利用堤顶、戗台兼做公路技术论证报告书（原件一式3份，附PDF格式电子版1份）；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（3）建设项目设计图纸（加盖设计单位图章的建设项目总体布置图、工程立面图、剖面图，原件一式2份，附PDF格式电子版1份）；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（4）建设项目立项文件（复印件1份）；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（5）可能对第三者合法水事权益产生损害的，提供与第三者水事权益协议文件和图件（复印件1份）；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（6）有关防治补救措施设计图纸（加盖设计单位图章，原件一式两套，附PDF格式电子版1份）；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（7）组织技术审查的部门出具的技术审查意见及职能部门出具的复核意见（原件各1份）；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（8）法人法定身份证明文件（组织机构代码证、营业执照、申请人身份证，复印件，一式一份）或其他个人身份证明文件（复印件，一式一份）。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第32条 行政机关对申请人提出的行政许可申请，应当根据下列情况分别作出处理：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（1）申请；（2）受理；（3）审查；（4）专家评审；（5）决定；（6）送达。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18个工作日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依法进行专家评审另需时间不超过30个工作日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依法进行听证另需时间不超过30个工作</w:t>
      </w:r>
      <w:r>
        <w:rPr>
          <w:rFonts w:hint="eastAsia" w:ascii="宋体" w:hAnsi="宋体" w:eastAsia="方正仿宋_GBK" w:cs="方正仿宋_GBK"/>
          <w:b w:val="0"/>
          <w:bCs w:val="0"/>
          <w:strike w:val="0"/>
          <w:dstrike w:val="0"/>
          <w:color w:val="000000"/>
          <w:sz w:val="28"/>
          <w:szCs w:val="28"/>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县级河道主管机关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按照《德宏州人民政府关于赋予中国（云南）自由贸易试验区德宏片区管理委员会行使部分州级行政职权事项（第三批）和调整完善原州级赋权事项的决定》（德政发〔2023〕19号）文件规定，委托中国（云南）自由贸易试验区德宏片区管理委员会在中国（云南）自由贸易试验区德宏片区范围内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jc w:val="center"/>
        <w:rPr>
          <w:rFonts w:hint="eastAsia" w:ascii="宋体" w:hAnsi="宋体" w:eastAsia="方正小标宋_GBK" w:cs="方正小标宋_GBK"/>
          <w:b w:val="0"/>
          <w:bCs w:val="0"/>
          <w:strike w:val="0"/>
          <w:dstrike w:val="0"/>
          <w:color w:val="000000"/>
          <w:sz w:val="40"/>
          <w:szCs w:val="40"/>
          <w:lang w:eastAsia="zh-CN"/>
        </w:rPr>
      </w:pPr>
      <w:bookmarkStart w:id="0" w:name="_GoBack"/>
      <w:bookmarkEnd w:id="0"/>
      <w:r>
        <w:rPr>
          <w:rFonts w:hint="eastAsia" w:ascii="宋体" w:hAnsi="宋体" w:eastAsia="方正小标宋_GBK" w:cs="方正小标宋_GBK"/>
          <w:b w:val="0"/>
          <w:bCs w:val="0"/>
          <w:strike w:val="0"/>
          <w:dstrike w:val="0"/>
          <w:color w:val="000000"/>
          <w:sz w:val="40"/>
          <w:szCs w:val="40"/>
          <w:lang w:eastAsia="zh-CN"/>
        </w:rPr>
        <w:t>利用堤顶、戗台兼做公路审批（县级权限）</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【00011911800301】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利用堤顶、戗台兼做公路审批</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00011911800Y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利用堤顶、戗台兼做公路审批（县级权限）【000119118003】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利用堤顶、戗台兼做公路审批（县级权限）(00011911800301)</w:t>
      </w:r>
    </w:p>
    <w:p>
      <w:pPr>
        <w:spacing w:line="360" w:lineRule="auto"/>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（1）《中华人民共和国河道管理条例》第15条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（1）《中华人民共和国行政许可法》第29条、第30条、第31条、第32条、第34条、第36条、第37条、第38条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（2）《中华人民共和国河道管理条例》第15条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（2）《国务院关于取消一批行政许可事项的决定》（国发〔2017〕46号）附件第39项</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县级河道主管机关</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利用堤顶、戗台兼做公路审批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（1）符合江河流域综合规划、防洪规划、河道治理规划、岸线保护与开发利用规划等规划要求，对规划实施无不利影响；</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（2）项目防御洪涝的设防标准与措施符合防洪（排涝）标准；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（3）对河道泄洪能力、河势稳定、河道冲淤变化、堤防护岸和其它水工程安全、防汛抢险无不利影响或影响较小；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（4）不影响第三人合法水事权益或已采取相应补救措施。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eastAsia" w:ascii="宋体" w:hAnsi="宋体" w:eastAsia="方正仿宋_GBK" w:cs="方正仿宋_GBK"/>
          <w:b w:val="0"/>
          <w:bCs w:val="0"/>
          <w:strike w:val="0"/>
          <w:dstrike w:val="0"/>
          <w:color w:val="000000"/>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审批时限由20个工作日压减至18个工作日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制定完善堤防兼做公路的有关要求，包括事后备案审查、加强日常监管等内容。2．对新建堤防拟兼做公路的，在设计阶段严格按相关技术标准把关。3．对现有堤防，已兼做公路的，要求堤防管理单位按标准要求进行自查；拟兼做公路的，堤防管理单位要进行安全性论证，采取有关安全防护措施，并向上级主管部门进行事后备案。4．督促堤防管理单位加强日常巡查，定期进行堤防安全鉴定，严格控制超限、超重车辆通行。5．通过现场检查、定期或不定期抽查等方式加强监管，严厉处罚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（1）利用堤顶、戗台兼做公路审批申请表（一式1份）；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（2）利用堤顶、戗台兼做公路技术论证报告书（原件一式3份，附PDF格式电子版1份）；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（3）建设项目设计图纸（加盖设计单位图章的建设项目总体布置图、工程立面图、剖面图，原件一式2份，附PDF格式电子版1份）；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（4）建设项目立项文件（复印件1份）；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（5）可能对第三者合法水事权益产生损害的，提供与第三者水事权益协议文件和图件（复印件1份）；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（6）有关防治补救措施设计图纸（加盖设计单位图章，原件一式两套，附PDF格式电子版1份）；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（7）组织技术审查的部门出具的技术审查意见及职能部门出具的复核意见（原件各1份）；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（8）法人法定身份证明文件（组织机构代码证、营业执照、申请人身份证，复印件，一式一份）或其他个人身份证明文件（复印件，一式一份）。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（1）《中华人民共和国行政许可法》第29条、第30条、第31条、第32条、第34条第29条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第32条 行政机关对申请人提出的行政许可申请，应当根据下列情况分别作出处理：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（1）申请；（2）受理；（3）审查；（4）专家评审；（5）决定；（6）送达。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 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18个工作日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依法进行专家评审另需时间不超过30个工作日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依法进行听证另需时间不超过30个工作</w:t>
      </w:r>
      <w:r>
        <w:rPr>
          <w:rFonts w:hint="eastAsia" w:ascii="宋体" w:hAnsi="宋体" w:eastAsia="方正仿宋_GBK" w:cs="方正仿宋_GBK"/>
          <w:b w:val="0"/>
          <w:bCs w:val="0"/>
          <w:strike w:val="0"/>
          <w:dstrike w:val="0"/>
          <w:color w:val="000000"/>
          <w:sz w:val="28"/>
          <w:szCs w:val="28"/>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县级河道主管机关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按照《德宏州人民政府关于赋予中国（云南）自由贸易试验区德宏片区管理委员会行使部分州级行政职权事项（第三批）和调整完善原州级赋权事项的决定》（德政发〔2023〕19号）文件规定，委托中国（云南）自由贸易试验区德宏片区管理委员会在中国（云南）自由贸易试验区德宏片区范围内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OWI3MGVlN2FjYTJjOWYxYTk5ZDgxNDMxNjM1NzQifQ=="/>
  </w:docVars>
  <w:rsids>
    <w:rsidRoot w:val="00172A27"/>
    <w:rsid w:val="02922A51"/>
    <w:rsid w:val="03EF1FE5"/>
    <w:rsid w:val="0F773642"/>
    <w:rsid w:val="137FFE78"/>
    <w:rsid w:val="13E84F20"/>
    <w:rsid w:val="17A7819F"/>
    <w:rsid w:val="1B9B4230"/>
    <w:rsid w:val="1BF91D65"/>
    <w:rsid w:val="26E24EDA"/>
    <w:rsid w:val="27B73C18"/>
    <w:rsid w:val="27FFADE9"/>
    <w:rsid w:val="2B75A621"/>
    <w:rsid w:val="2CF80706"/>
    <w:rsid w:val="2FAF4B02"/>
    <w:rsid w:val="380D4AD8"/>
    <w:rsid w:val="3D7D5435"/>
    <w:rsid w:val="3D94095A"/>
    <w:rsid w:val="3DDB0BA4"/>
    <w:rsid w:val="3EDE55CF"/>
    <w:rsid w:val="3EFCC841"/>
    <w:rsid w:val="3FEFC617"/>
    <w:rsid w:val="4C36523E"/>
    <w:rsid w:val="52912DC4"/>
    <w:rsid w:val="52A6501B"/>
    <w:rsid w:val="537139A9"/>
    <w:rsid w:val="56BCD946"/>
    <w:rsid w:val="577DB212"/>
    <w:rsid w:val="577F8560"/>
    <w:rsid w:val="57E4CCD9"/>
    <w:rsid w:val="57ED7290"/>
    <w:rsid w:val="57EE278D"/>
    <w:rsid w:val="58BDEDEA"/>
    <w:rsid w:val="5AB3A1DF"/>
    <w:rsid w:val="5BD3C20E"/>
    <w:rsid w:val="5BF7F0BC"/>
    <w:rsid w:val="5D037C86"/>
    <w:rsid w:val="5DDFD6DF"/>
    <w:rsid w:val="5DEFD9F4"/>
    <w:rsid w:val="5DF7E2E6"/>
    <w:rsid w:val="5E7046A5"/>
    <w:rsid w:val="5F4D3A69"/>
    <w:rsid w:val="5F7B72DD"/>
    <w:rsid w:val="5FF1908F"/>
    <w:rsid w:val="5FF2B76B"/>
    <w:rsid w:val="5FF811AF"/>
    <w:rsid w:val="5FFFD230"/>
    <w:rsid w:val="65CA2668"/>
    <w:rsid w:val="67DF76B2"/>
    <w:rsid w:val="67FE3EE5"/>
    <w:rsid w:val="690B0CE9"/>
    <w:rsid w:val="6B9F034F"/>
    <w:rsid w:val="6C6D4FD7"/>
    <w:rsid w:val="6DA3DD5C"/>
    <w:rsid w:val="6DF22C17"/>
    <w:rsid w:val="6E4FD61B"/>
    <w:rsid w:val="6E8B4C88"/>
    <w:rsid w:val="6EB7FB5A"/>
    <w:rsid w:val="6FE3B357"/>
    <w:rsid w:val="6FEF86D8"/>
    <w:rsid w:val="6FFBAD7F"/>
    <w:rsid w:val="72EFDC53"/>
    <w:rsid w:val="73EDD447"/>
    <w:rsid w:val="75FFD70D"/>
    <w:rsid w:val="76FF384E"/>
    <w:rsid w:val="77BA5B79"/>
    <w:rsid w:val="77EF409C"/>
    <w:rsid w:val="77F4D9CF"/>
    <w:rsid w:val="77FBA3DB"/>
    <w:rsid w:val="77FBC6DD"/>
    <w:rsid w:val="77FC5409"/>
    <w:rsid w:val="77FDD419"/>
    <w:rsid w:val="786FCC86"/>
    <w:rsid w:val="797F34EC"/>
    <w:rsid w:val="7AF62137"/>
    <w:rsid w:val="7B9C8F02"/>
    <w:rsid w:val="7BA21867"/>
    <w:rsid w:val="7BBF3B9C"/>
    <w:rsid w:val="7BFB1403"/>
    <w:rsid w:val="7BFEFFA9"/>
    <w:rsid w:val="7DFF1704"/>
    <w:rsid w:val="7EB71E8A"/>
    <w:rsid w:val="7EBB8F96"/>
    <w:rsid w:val="7EFB5555"/>
    <w:rsid w:val="7EFF8A91"/>
    <w:rsid w:val="7F56F69E"/>
    <w:rsid w:val="7F87355D"/>
    <w:rsid w:val="7FA9B766"/>
    <w:rsid w:val="7FBF0C3A"/>
    <w:rsid w:val="7FED99DA"/>
    <w:rsid w:val="7FEE461F"/>
    <w:rsid w:val="7FF5AD4F"/>
    <w:rsid w:val="7FFF5E49"/>
    <w:rsid w:val="7FFFCAF1"/>
    <w:rsid w:val="97F79D18"/>
    <w:rsid w:val="98D797E2"/>
    <w:rsid w:val="9D6D210B"/>
    <w:rsid w:val="9EFEDA3D"/>
    <w:rsid w:val="9EFFC22B"/>
    <w:rsid w:val="9F469BF7"/>
    <w:rsid w:val="9FCB4C29"/>
    <w:rsid w:val="9FDE29C3"/>
    <w:rsid w:val="9FFBC632"/>
    <w:rsid w:val="A27B0905"/>
    <w:rsid w:val="A4E23484"/>
    <w:rsid w:val="A8FF37E2"/>
    <w:rsid w:val="AB7FC20D"/>
    <w:rsid w:val="AC3068C5"/>
    <w:rsid w:val="AEF91291"/>
    <w:rsid w:val="AFE778D7"/>
    <w:rsid w:val="AFFB605F"/>
    <w:rsid w:val="B79F99C5"/>
    <w:rsid w:val="B7EF7751"/>
    <w:rsid w:val="BBEBFA39"/>
    <w:rsid w:val="BDFF8F66"/>
    <w:rsid w:val="C3F6CEE2"/>
    <w:rsid w:val="CCEFE2C5"/>
    <w:rsid w:val="CDB19C70"/>
    <w:rsid w:val="CDFD31C3"/>
    <w:rsid w:val="CF3B17D2"/>
    <w:rsid w:val="CFAF8814"/>
    <w:rsid w:val="D4AF6E71"/>
    <w:rsid w:val="D5D5EE3E"/>
    <w:rsid w:val="D6BF8B20"/>
    <w:rsid w:val="D7EEB582"/>
    <w:rsid w:val="D9D7CA82"/>
    <w:rsid w:val="DCFDA5F2"/>
    <w:rsid w:val="DDACCE71"/>
    <w:rsid w:val="DDEEB317"/>
    <w:rsid w:val="DED32E81"/>
    <w:rsid w:val="DFBF31A5"/>
    <w:rsid w:val="DFBF37B5"/>
    <w:rsid w:val="DFDD5A3D"/>
    <w:rsid w:val="DFDF1323"/>
    <w:rsid w:val="DFF72408"/>
    <w:rsid w:val="E777676D"/>
    <w:rsid w:val="E9F3B933"/>
    <w:rsid w:val="EADB57B7"/>
    <w:rsid w:val="EBD74294"/>
    <w:rsid w:val="ED3C5FBB"/>
    <w:rsid w:val="ED7F9FFE"/>
    <w:rsid w:val="EE5EFFC7"/>
    <w:rsid w:val="EF4EFBC4"/>
    <w:rsid w:val="EF9514A4"/>
    <w:rsid w:val="EFAD425E"/>
    <w:rsid w:val="EFFA4B9F"/>
    <w:rsid w:val="F0D6BF82"/>
    <w:rsid w:val="F1FF8578"/>
    <w:rsid w:val="F37E3A4E"/>
    <w:rsid w:val="F3ED6A2A"/>
    <w:rsid w:val="F59F3070"/>
    <w:rsid w:val="F5BE28F7"/>
    <w:rsid w:val="F5BFEFE1"/>
    <w:rsid w:val="F6FBD7D3"/>
    <w:rsid w:val="F77F4492"/>
    <w:rsid w:val="F7C76750"/>
    <w:rsid w:val="F7C9F617"/>
    <w:rsid w:val="F7DFE792"/>
    <w:rsid w:val="F7E78EC7"/>
    <w:rsid w:val="F7FFE7CF"/>
    <w:rsid w:val="F9B40050"/>
    <w:rsid w:val="FAF72E42"/>
    <w:rsid w:val="FAFDE12F"/>
    <w:rsid w:val="FB7F6C85"/>
    <w:rsid w:val="FBD72D68"/>
    <w:rsid w:val="FBE99A64"/>
    <w:rsid w:val="FBEC2DF5"/>
    <w:rsid w:val="FCAB614D"/>
    <w:rsid w:val="FD3FB9E8"/>
    <w:rsid w:val="FD9BAA01"/>
    <w:rsid w:val="FDB8BDED"/>
    <w:rsid w:val="FDBF1CBE"/>
    <w:rsid w:val="FDFF79DD"/>
    <w:rsid w:val="FDFFCC53"/>
    <w:rsid w:val="FE5F7A5B"/>
    <w:rsid w:val="FE617381"/>
    <w:rsid w:val="FEBE7608"/>
    <w:rsid w:val="FED1266F"/>
    <w:rsid w:val="FF77798A"/>
    <w:rsid w:val="FF9F218C"/>
    <w:rsid w:val="FFA1A6B2"/>
    <w:rsid w:val="FFB73ACB"/>
    <w:rsid w:val="FFDF3980"/>
    <w:rsid w:val="FFDFF111"/>
    <w:rsid w:val="FFF3E64B"/>
    <w:rsid w:val="FFF6ED5B"/>
    <w:rsid w:val="FFF719DC"/>
    <w:rsid w:val="FFFD6D3F"/>
    <w:rsid w:val="FFFE641E"/>
    <w:rsid w:val="FFFF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4"/>
    <w:uiPriority w:val="0"/>
    <w:pPr>
      <w:spacing w:beforeAutospacing="0"/>
    </w:pPr>
  </w:style>
  <w:style w:type="paragraph" w:styleId="4">
    <w:name w:val="toc 5"/>
    <w:basedOn w:val="1"/>
    <w:next w:val="1"/>
    <w:uiPriority w:val="0"/>
    <w:pPr>
      <w:ind w:left="1680" w:leftChars="800"/>
    </w:pPr>
  </w:style>
  <w:style w:type="paragraph" w:styleId="5">
    <w:name w:val="Body Text Indent"/>
    <w:basedOn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next w:val="1"/>
    <w:unhideWhenUsed/>
    <w:qFormat/>
    <w:uiPriority w:val="99"/>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12">
    <w:name w:val="样式1"/>
    <w:basedOn w:val="1"/>
    <w:next w:val="3"/>
    <w:qFormat/>
    <w:uiPriority w:val="0"/>
  </w:style>
  <w:style w:type="character" w:customStyle="1" w:styleId="13">
    <w:name w:val="页脚 字符"/>
    <w:link w:val="6"/>
    <w:uiPriority w:val="0"/>
    <w:rPr>
      <w:rFonts w:ascii="Times New Roman" w:hAnsi="Times New Roman" w:eastAsia="宋体" w:cs="Times New Roman"/>
      <w:sz w:val="18"/>
      <w:szCs w:val="18"/>
    </w:rPr>
  </w:style>
  <w:style w:type="character" w:customStyle="1" w:styleId="14">
    <w:name w:val="页眉 字符"/>
    <w:link w:val="7"/>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dc:creator>
  <cp:lastModifiedBy>余晖_</cp:lastModifiedBy>
  <dcterms:modified xsi:type="dcterms:W3CDTF">2023-11-28T09:22:56Z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A0247179913D4E2DBE66B29B8F2C114D_12</vt:lpwstr>
  </property>
</Properties>
</file>