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方正小标宋_GBK" w:hAnsi="方正小标宋_GBK" w:eastAsia="方正小标宋_GBK" w:cs="方正小标宋_GBK"/>
          <w:sz w:val="36"/>
          <w:szCs w:val="36"/>
        </w:rPr>
      </w:pPr>
      <w:bookmarkStart w:id="0" w:name="_Toc37174411"/>
      <w:r>
        <w:rPr>
          <w:rFonts w:hint="eastAsia" w:ascii="方正小标宋_GBK" w:hAnsi="方正小标宋_GBK" w:eastAsia="方正小标宋_GBK" w:cs="方正小标宋_GBK"/>
          <w:sz w:val="36"/>
          <w:szCs w:val="36"/>
        </w:rPr>
        <w:t>梁河县</w:t>
      </w:r>
      <w:r>
        <w:rPr>
          <w:rFonts w:hint="eastAsia" w:ascii="方正小标宋_GBK" w:hAnsi="方正小标宋_GBK" w:eastAsia="方正小标宋_GBK" w:cs="方正小标宋_GBK"/>
          <w:sz w:val="36"/>
          <w:szCs w:val="36"/>
          <w:lang w:eastAsia="zh-CN"/>
        </w:rPr>
        <w:t>第五</w:t>
      </w:r>
      <w:r>
        <w:rPr>
          <w:rFonts w:hint="eastAsia" w:ascii="方正小标宋_GBK" w:hAnsi="方正小标宋_GBK" w:eastAsia="方正小标宋_GBK" w:cs="方正小标宋_GBK"/>
          <w:sz w:val="36"/>
          <w:szCs w:val="36"/>
        </w:rPr>
        <w:t>次全国经济普查公报（第五号）</w:t>
      </w:r>
      <w:bookmarkEnd w:id="0"/>
    </w:p>
    <w:p>
      <w:pPr>
        <w:widowControl/>
        <w:spacing w:line="600" w:lineRule="exact"/>
        <w:jc w:val="center"/>
        <w:rPr>
          <w:rFonts w:ascii="Times New Roman" w:hAnsi="Times New Roman" w:eastAsia="方正楷体_GBK" w:cs="Times New Roman"/>
          <w:b/>
          <w:bCs w:val="0"/>
          <w:color w:val="000000" w:themeColor="text1"/>
          <w:kern w:val="0"/>
          <w:sz w:val="36"/>
          <w:szCs w:val="32"/>
          <w14:textFill>
            <w14:solidFill>
              <w14:schemeClr w14:val="tx1"/>
            </w14:solidFill>
          </w14:textFill>
        </w:rPr>
      </w:pPr>
      <w:r>
        <w:rPr>
          <w:rFonts w:hint="eastAsia" w:ascii="Times New Roman" w:hAnsi="Times New Roman" w:eastAsia="方正楷体_GBK" w:cs="Times New Roman"/>
          <w:b/>
          <w:bCs w:val="0"/>
          <w:color w:val="000000" w:themeColor="text1"/>
          <w:kern w:val="0"/>
          <w:sz w:val="36"/>
          <w:szCs w:val="32"/>
          <w14:textFill>
            <w14:solidFill>
              <w14:schemeClr w14:val="tx1"/>
            </w14:solidFill>
          </w14:textFill>
        </w:rPr>
        <w:t>——第三产业基本情况之二</w:t>
      </w:r>
    </w:p>
    <w:p>
      <w:pPr>
        <w:widowControl/>
        <w:spacing w:line="600" w:lineRule="exact"/>
        <w:jc w:val="center"/>
        <w:rPr>
          <w:rFonts w:ascii="Times New Roman" w:hAnsi="Times New Roman" w:eastAsia="方正楷体_GBK" w:cs="Times New Roman"/>
          <w:color w:val="000000" w:themeColor="text1"/>
          <w:kern w:val="0"/>
          <w:sz w:val="32"/>
          <w:szCs w:val="32"/>
          <w14:textFill>
            <w14:solidFill>
              <w14:schemeClr w14:val="tx1"/>
            </w14:solidFill>
          </w14:textFill>
        </w:rPr>
      </w:pPr>
      <w:r>
        <w:rPr>
          <w:rFonts w:hint="eastAsia" w:ascii="Times New Roman" w:hAnsi="Times New Roman" w:eastAsia="方正楷体_GBK" w:cs="Times New Roman"/>
          <w:color w:val="000000" w:themeColor="text1"/>
          <w:kern w:val="0"/>
          <w:sz w:val="32"/>
          <w:szCs w:val="32"/>
          <w14:textFill>
            <w14:solidFill>
              <w14:schemeClr w14:val="tx1"/>
            </w14:solidFill>
          </w14:textFill>
        </w:rPr>
        <w:t>梁河县统计局</w:t>
      </w:r>
    </w:p>
    <w:p>
      <w:pPr>
        <w:widowControl/>
        <w:spacing w:line="600" w:lineRule="exact"/>
        <w:jc w:val="center"/>
        <w:rPr>
          <w:rFonts w:ascii="Times New Roman" w:hAnsi="Times New Roman" w:eastAsia="方正楷体_GBK" w:cs="Times New Roman"/>
          <w:color w:val="000000" w:themeColor="text1"/>
          <w:kern w:val="0"/>
          <w:sz w:val="32"/>
          <w:szCs w:val="32"/>
          <w14:textFill>
            <w14:solidFill>
              <w14:schemeClr w14:val="tx1"/>
            </w14:solidFill>
          </w14:textFill>
        </w:rPr>
      </w:pPr>
      <w:r>
        <w:rPr>
          <w:rFonts w:hint="eastAsia" w:ascii="Times New Roman" w:hAnsi="Times New Roman" w:eastAsia="方正楷体_GBK" w:cs="Times New Roman"/>
          <w:color w:val="000000" w:themeColor="text1"/>
          <w:kern w:val="0"/>
          <w:sz w:val="32"/>
          <w:szCs w:val="32"/>
          <w14:textFill>
            <w14:solidFill>
              <w14:schemeClr w14:val="tx1"/>
            </w14:solidFill>
          </w14:textFill>
        </w:rPr>
        <w:t>梁河县</w:t>
      </w:r>
      <w:r>
        <w:rPr>
          <w:rFonts w:hint="eastAsia" w:ascii="Times New Roman" w:hAnsi="Times New Roman" w:eastAsia="方正楷体_GBK" w:cs="Times New Roman"/>
          <w:color w:val="000000" w:themeColor="text1"/>
          <w:kern w:val="0"/>
          <w:sz w:val="32"/>
          <w:szCs w:val="32"/>
          <w:lang w:eastAsia="zh-CN"/>
          <w14:textFill>
            <w14:solidFill>
              <w14:schemeClr w14:val="tx1"/>
            </w14:solidFill>
          </w14:textFill>
        </w:rPr>
        <w:t>第五</w:t>
      </w:r>
      <w:r>
        <w:rPr>
          <w:rFonts w:hint="eastAsia" w:ascii="Times New Roman" w:hAnsi="Times New Roman" w:eastAsia="方正楷体_GBK" w:cs="Times New Roman"/>
          <w:color w:val="000000" w:themeColor="text1"/>
          <w:kern w:val="0"/>
          <w:sz w:val="32"/>
          <w:szCs w:val="32"/>
          <w14:textFill>
            <w14:solidFill>
              <w14:schemeClr w14:val="tx1"/>
            </w14:solidFill>
          </w14:textFill>
        </w:rPr>
        <w:t>次全国经济普查领导小组办公室</w:t>
      </w:r>
    </w:p>
    <w:p>
      <w:pPr>
        <w:widowControl/>
        <w:spacing w:line="600" w:lineRule="exact"/>
        <w:jc w:val="center"/>
        <w:rPr>
          <w:rFonts w:hint="eastAsia" w:ascii="Times New Roman" w:hAnsi="Times New Roman" w:eastAsia="方正楷体_GBK" w:cs="Times New Roman"/>
          <w:color w:val="auto"/>
          <w:kern w:val="0"/>
          <w:sz w:val="32"/>
          <w:szCs w:val="32"/>
          <w:lang w:eastAsia="zh-CN"/>
        </w:rPr>
      </w:pPr>
      <w:r>
        <w:rPr>
          <w:rFonts w:hint="eastAsia" w:ascii="Times New Roman" w:hAnsi="Times New Roman" w:eastAsia="方正楷体_GBK" w:cs="Times New Roman"/>
          <w:color w:val="auto"/>
          <w:kern w:val="0"/>
          <w:sz w:val="32"/>
          <w:szCs w:val="32"/>
          <w:lang w:eastAsia="zh-CN"/>
        </w:rPr>
        <w:t>（</w:t>
      </w:r>
      <w:r>
        <w:rPr>
          <w:rFonts w:hint="eastAsia" w:ascii="Times New Roman" w:hAnsi="Times New Roman" w:eastAsia="方正楷体_GBK" w:cs="Times New Roman"/>
          <w:color w:val="auto"/>
          <w:kern w:val="0"/>
          <w:sz w:val="32"/>
          <w:szCs w:val="32"/>
        </w:rPr>
        <w:t>20</w:t>
      </w:r>
      <w:r>
        <w:rPr>
          <w:rFonts w:ascii="Times New Roman" w:hAnsi="Times New Roman" w:eastAsia="方正楷体_GBK" w:cs="Times New Roman"/>
          <w:color w:val="auto"/>
          <w:kern w:val="0"/>
          <w:sz w:val="32"/>
          <w:szCs w:val="32"/>
        </w:rPr>
        <w:t>2</w:t>
      </w:r>
      <w:r>
        <w:rPr>
          <w:rFonts w:hint="eastAsia" w:ascii="Times New Roman" w:hAnsi="Times New Roman" w:eastAsia="方正楷体_GBK" w:cs="Times New Roman"/>
          <w:color w:val="auto"/>
          <w:kern w:val="0"/>
          <w:sz w:val="32"/>
          <w:szCs w:val="32"/>
          <w:lang w:val="en-US" w:eastAsia="zh-CN"/>
        </w:rPr>
        <w:t>5</w:t>
      </w:r>
      <w:r>
        <w:rPr>
          <w:rFonts w:hint="eastAsia" w:ascii="Times New Roman" w:hAnsi="Times New Roman" w:eastAsia="方正楷体_GBK" w:cs="Times New Roman"/>
          <w:color w:val="auto"/>
          <w:kern w:val="0"/>
          <w:sz w:val="32"/>
          <w:szCs w:val="32"/>
        </w:rPr>
        <w:t>年</w:t>
      </w:r>
      <w:r>
        <w:rPr>
          <w:rFonts w:hint="eastAsia" w:ascii="Times New Roman" w:hAnsi="Times New Roman" w:eastAsia="方正楷体_GBK" w:cs="Times New Roman"/>
          <w:color w:val="auto"/>
          <w:kern w:val="0"/>
          <w:sz w:val="32"/>
          <w:szCs w:val="32"/>
          <w:lang w:val="en-US" w:eastAsia="zh-CN"/>
        </w:rPr>
        <w:t>4</w:t>
      </w:r>
      <w:r>
        <w:rPr>
          <w:rFonts w:hint="eastAsia" w:ascii="Times New Roman" w:hAnsi="Times New Roman" w:eastAsia="方正楷体_GBK" w:cs="Times New Roman"/>
          <w:color w:val="auto"/>
          <w:kern w:val="0"/>
          <w:sz w:val="32"/>
          <w:szCs w:val="32"/>
        </w:rPr>
        <w:t>月</w:t>
      </w:r>
      <w:r>
        <w:rPr>
          <w:rFonts w:hint="eastAsia" w:ascii="Times New Roman" w:hAnsi="Times New Roman" w:eastAsia="方正楷体_GBK" w:cs="Times New Roman"/>
          <w:color w:val="auto"/>
          <w:kern w:val="0"/>
          <w:sz w:val="32"/>
          <w:szCs w:val="32"/>
          <w:lang w:val="en-US" w:eastAsia="zh-CN"/>
        </w:rPr>
        <w:t>29</w:t>
      </w:r>
      <w:r>
        <w:rPr>
          <w:rFonts w:hint="eastAsia" w:ascii="Times New Roman" w:hAnsi="Times New Roman" w:eastAsia="方正楷体_GBK" w:cs="Times New Roman"/>
          <w:color w:val="auto"/>
          <w:kern w:val="0"/>
          <w:sz w:val="32"/>
          <w:szCs w:val="32"/>
        </w:rPr>
        <w:t>日</w:t>
      </w:r>
      <w:r>
        <w:rPr>
          <w:rFonts w:hint="eastAsia" w:ascii="Times New Roman" w:hAnsi="Times New Roman" w:eastAsia="方正楷体_GBK" w:cs="Times New Roman"/>
          <w:color w:val="auto"/>
          <w:kern w:val="0"/>
          <w:sz w:val="32"/>
          <w:szCs w:val="32"/>
          <w:lang w:eastAsia="zh-CN"/>
        </w:rPr>
        <w:t>）</w:t>
      </w:r>
    </w:p>
    <w:p>
      <w:pPr>
        <w:widowControl/>
        <w:spacing w:line="600" w:lineRule="exact"/>
        <w:jc w:val="left"/>
        <w:rPr>
          <w:rFonts w:ascii="Times New Roman" w:hAnsi="Times New Roman" w:eastAsia="方正楷体_GBK" w:cs="Times New Roman"/>
          <w:color w:val="000000" w:themeColor="text1"/>
          <w:kern w:val="0"/>
          <w:sz w:val="24"/>
          <w14:textFill>
            <w14:solidFill>
              <w14:schemeClr w14:val="tx1"/>
            </w14:solidFill>
          </w14:textFill>
        </w:rPr>
      </w:pPr>
      <w:r>
        <w:rPr>
          <w:rFonts w:ascii="Times New Roman" w:hAnsi="Times New Roman" w:eastAsia="方正楷体_GBK" w:cs="Times New Roman"/>
          <w:color w:val="000000" w:themeColor="text1"/>
          <w:kern w:val="0"/>
          <w:sz w:val="24"/>
          <w14:textFill>
            <w14:solidFill>
              <w14:schemeClr w14:val="tx1"/>
            </w14:solidFill>
          </w14:textFill>
        </w:rPr>
        <w:t> </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根据梁河县</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第五</w:t>
      </w:r>
      <w:r>
        <w:rPr>
          <w:rFonts w:hint="eastAsia" w:ascii="Times New Roman" w:hAnsi="Times New Roman" w:eastAsia="方正仿宋_GBK" w:cs="Times New Roman"/>
          <w:color w:val="000000" w:themeColor="text1"/>
          <w:kern w:val="0"/>
          <w:sz w:val="32"/>
          <w:szCs w:val="32"/>
          <w14:textFill>
            <w14:solidFill>
              <w14:schemeClr w14:val="tx1"/>
            </w14:solidFill>
          </w14:textFill>
        </w:rPr>
        <w:t>次全国经济普查结果，现将我县第三产业中科学研究和技术服务业，水利、环境和公共设施管理业，居民服务、修理和其他服务业，教育，卫生和社会工作，文化、体育和娱乐业，公共管理、社会保障和社会组织的主要数据公布如下：</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方正黑体_GBK" w:hAnsi="方正黑体_GBK" w:eastAsia="方正黑体_GBK" w:cs="方正黑体_GBK"/>
          <w:b/>
          <w:bCs/>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bCs/>
          <w:color w:val="000000" w:themeColor="text1"/>
          <w:kern w:val="0"/>
          <w:sz w:val="32"/>
          <w:szCs w:val="32"/>
          <w14:textFill>
            <w14:solidFill>
              <w14:schemeClr w14:val="tx1"/>
            </w14:solidFill>
          </w14:textFill>
        </w:rPr>
        <w:t>一、科学研究和技术服务业</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（一）法人单位数和从业人员</w:t>
      </w:r>
      <w:r>
        <w:rPr>
          <w:rFonts w:ascii="Times New Roman" w:hAnsi="Times New Roman" w:eastAsia="方正仿宋_GBK" w:cs="Times New Roman"/>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2023</w:t>
      </w:r>
      <w:r>
        <w:rPr>
          <w:rFonts w:hint="eastAsia" w:ascii="Times New Roman" w:hAnsi="Times New Roman" w:eastAsia="方正仿宋_GBK" w:cs="Times New Roman"/>
          <w:color w:val="000000" w:themeColor="text1"/>
          <w:kern w:val="0"/>
          <w:sz w:val="32"/>
          <w:szCs w:val="32"/>
          <w14:textFill>
            <w14:solidFill>
              <w14:schemeClr w14:val="tx1"/>
            </w14:solidFill>
          </w14:textFill>
        </w:rPr>
        <w:t>年末，全县共有科学研究和技术服务业法人单位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w:t>
      </w:r>
      <w:r>
        <w:rPr>
          <w:rFonts w:hint="eastAsia" w:ascii="Times New Roman" w:hAnsi="Times New Roman" w:eastAsia="方正仿宋_GBK" w:cs="Times New Roman"/>
          <w:color w:val="000000" w:themeColor="text1"/>
          <w:kern w:val="0"/>
          <w:sz w:val="32"/>
          <w:szCs w:val="32"/>
          <w14:textFill>
            <w14:solidFill>
              <w14:schemeClr w14:val="tx1"/>
            </w14:solidFill>
          </w14:textFill>
        </w:rPr>
        <w:t>个，从业人员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128</w:t>
      </w:r>
      <w:r>
        <w:rPr>
          <w:rFonts w:hint="eastAsia" w:ascii="Times New Roman" w:hAnsi="Times New Roman" w:eastAsia="方正仿宋_GBK" w:cs="Times New Roman"/>
          <w:color w:val="000000" w:themeColor="text1"/>
          <w:kern w:val="0"/>
          <w:sz w:val="32"/>
          <w:szCs w:val="32"/>
          <w14:textFill>
            <w14:solidFill>
              <w14:schemeClr w14:val="tx1"/>
            </w14:solidFill>
          </w14:textFill>
        </w:rPr>
        <w:t>人</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，分别比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2018年末下降51.2%和21.0%</w:t>
      </w:r>
      <w:r>
        <w:rPr>
          <w:rFonts w:hint="eastAsia" w:ascii="Times New Roman" w:hAnsi="Times New Roman" w:eastAsia="方正仿宋_GBK" w:cs="Times New Roman"/>
          <w:color w:val="000000" w:themeColor="text1"/>
          <w:kern w:val="0"/>
          <w:sz w:val="32"/>
          <w:szCs w:val="32"/>
          <w14:textFill>
            <w14:solidFill>
              <w14:schemeClr w14:val="tx1"/>
            </w14:solidFill>
          </w14:textFill>
        </w:rPr>
        <w:t>。其中，企业法人单位</w:t>
      </w:r>
      <w:r>
        <w:rPr>
          <w:rFonts w:hint="eastAsia" w:ascii="仿宋" w:hAnsi="仿宋" w:eastAsia="仿宋" w:cs="仿宋"/>
          <w:i w:val="0"/>
          <w:caps w:val="0"/>
          <w:color w:val="0C0C0C"/>
          <w:spacing w:val="0"/>
          <w:kern w:val="0"/>
          <w:sz w:val="32"/>
          <w:szCs w:val="32"/>
          <w:highlight w:val="none"/>
          <w:vertAlign w:val="superscript"/>
          <w:lang w:val="en-US" w:eastAsia="zh-CN" w:bidi="ar"/>
        </w:rPr>
        <w:footnoteReference w:id="0"/>
      </w:r>
      <w:r>
        <w:rPr>
          <w:rFonts w:ascii="Times New Roman" w:hAnsi="Times New Roman" w:eastAsia="方正仿宋_GBK" w:cs="Times New Roman"/>
          <w:color w:val="000000" w:themeColor="text1"/>
          <w:sz w:val="32"/>
          <w:szCs w:val="32"/>
          <w14:textFill>
            <w14:solidFill>
              <w14:schemeClr w14:val="tx1"/>
            </w14:solidFill>
          </w14:textFill>
        </w:rPr>
        <w:t>8</w:t>
      </w:r>
      <w:r>
        <w:rPr>
          <w:rFonts w:hint="eastAsia" w:ascii="Times New Roman" w:hAnsi="Times New Roman" w:eastAsia="方正仿宋_GBK" w:cs="Times New Roman"/>
          <w:color w:val="000000" w:themeColor="text1"/>
          <w:kern w:val="0"/>
          <w:sz w:val="32"/>
          <w:szCs w:val="32"/>
          <w14:textFill>
            <w14:solidFill>
              <w14:schemeClr w14:val="tx1"/>
            </w14:solidFill>
          </w14:textFill>
        </w:rPr>
        <w:t>个，从业人员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60</w:t>
      </w:r>
      <w:r>
        <w:rPr>
          <w:rFonts w:hint="eastAsia" w:ascii="Times New Roman" w:hAnsi="Times New Roman" w:eastAsia="方正仿宋_GBK" w:cs="Times New Roman"/>
          <w:color w:val="000000" w:themeColor="text1"/>
          <w:kern w:val="0"/>
          <w:sz w:val="32"/>
          <w:szCs w:val="32"/>
          <w14:textFill>
            <w14:solidFill>
              <w14:schemeClr w14:val="tx1"/>
            </w14:solidFill>
          </w14:textFill>
        </w:rPr>
        <w:t>人，</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企业法人单位与</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2018年末持平，</w:t>
      </w:r>
      <w:r>
        <w:rPr>
          <w:rFonts w:hint="eastAsia" w:ascii="Times New Roman" w:hAnsi="Times New Roman" w:eastAsia="方正仿宋_GBK" w:cs="Times New Roman"/>
          <w:color w:val="000000" w:themeColor="text1"/>
          <w:kern w:val="0"/>
          <w:sz w:val="32"/>
          <w:szCs w:val="32"/>
          <w14:textFill>
            <w14:solidFill>
              <w14:schemeClr w14:val="tx1"/>
            </w14:solidFill>
          </w14:textFill>
        </w:rPr>
        <w:t>从业人员</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w:t>
      </w:r>
      <w:r>
        <w:rPr>
          <w:rFonts w:hint="eastAsia" w:ascii="Times New Roman" w:hAnsi="Times New Roman" w:eastAsia="方正仿宋_GBK" w:cs="Times New Roman"/>
          <w:color w:val="000000" w:themeColor="text1"/>
          <w:kern w:val="0"/>
          <w:sz w:val="32"/>
          <w:szCs w:val="32"/>
          <w14:textFill>
            <w14:solidFill>
              <w14:schemeClr w14:val="tx1"/>
            </w14:solidFill>
          </w14:textFill>
        </w:rPr>
        <w:t>年末</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下降</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7.7%</w:t>
      </w:r>
      <w:r>
        <w:rPr>
          <w:rFonts w:hint="eastAsia" w:ascii="Times New Roman" w:hAnsi="Times New Roman" w:eastAsia="方正仿宋_GBK" w:cs="Times New Roman"/>
          <w:color w:val="000000" w:themeColor="text1"/>
          <w:kern w:val="0"/>
          <w:sz w:val="32"/>
          <w:szCs w:val="32"/>
          <w14:textFill>
            <w14:solidFill>
              <w14:schemeClr w14:val="tx1"/>
            </w14:solidFill>
          </w14:textFill>
        </w:rPr>
        <w:t>（详见表5-1）。</w:t>
      </w:r>
    </w:p>
    <w:tbl>
      <w:tblPr>
        <w:tblStyle w:val="8"/>
        <w:tblW w:w="830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909"/>
        <w:gridCol w:w="2957"/>
        <w:gridCol w:w="24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306" w:type="dxa"/>
            <w:gridSpan w:val="3"/>
            <w:tcBorders>
              <w:top w:val="nil"/>
              <w:left w:val="nil"/>
              <w:bottom w:val="single" w:color="auto" w:sz="12" w:space="0"/>
              <w:right w:val="nil"/>
            </w:tcBorders>
            <w:shd w:val="clear" w:color="auto" w:fill="FFFFFF"/>
            <w:vAlign w:val="center"/>
          </w:tcPr>
          <w:p>
            <w:pPr>
              <w:widowControl/>
              <w:spacing w:line="320" w:lineRule="atLeast"/>
              <w:ind w:left="57" w:right="57"/>
              <w:jc w:val="center"/>
              <w:rPr>
                <w:rFonts w:ascii="Times New Roman" w:hAnsi="Times New Roman" w:cs="Times New Roman"/>
                <w:color w:val="000000" w:themeColor="text1"/>
                <w:kern w:val="0"/>
                <w:sz w:val="24"/>
                <w14:textFill>
                  <w14:solidFill>
                    <w14:schemeClr w14:val="tx1"/>
                  </w14:solidFill>
                </w14:textFill>
              </w:rPr>
            </w:pPr>
            <w:r>
              <w:rPr>
                <w:rFonts w:hint="eastAsia" w:ascii="Times New Roman" w:hAnsi="Times New Roman" w:cs="Times New Roman"/>
                <w:b/>
                <w:bCs/>
                <w:color w:val="000000" w:themeColor="text1"/>
                <w:kern w:val="0"/>
                <w:sz w:val="24"/>
                <w14:textFill>
                  <w14:solidFill>
                    <w14:schemeClr w14:val="tx1"/>
                  </w14:solidFill>
                </w14:textFill>
              </w:rPr>
              <w:t>表</w:t>
            </w:r>
            <w:r>
              <w:rPr>
                <w:rFonts w:ascii="Times New Roman" w:hAnsi="Times New Roman" w:cs="Times New Roman"/>
                <w:b/>
                <w:bCs/>
                <w:color w:val="000000" w:themeColor="text1"/>
                <w:kern w:val="0"/>
                <w:sz w:val="24"/>
                <w14:textFill>
                  <w14:solidFill>
                    <w14:schemeClr w14:val="tx1"/>
                  </w14:solidFill>
                </w14:textFill>
              </w:rPr>
              <w:t>5-1</w:t>
            </w:r>
            <w:r>
              <w:rPr>
                <w:rFonts w:hint="eastAsia" w:ascii="Times New Roman" w:hAnsi="Times New Roman" w:cs="Times New Roman"/>
                <w:b/>
                <w:bCs/>
                <w:color w:val="000000" w:themeColor="text1"/>
                <w:kern w:val="0"/>
                <w:sz w:val="24"/>
                <w14:textFill>
                  <w14:solidFill>
                    <w14:schemeClr w14:val="tx1"/>
                  </w14:solidFill>
                </w14:textFill>
              </w:rPr>
              <w:t>　按行业大类分组的科学研究和技术服务业企业法人单位和从业人员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909" w:type="dxa"/>
            <w:tcBorders>
              <w:top w:val="nil"/>
              <w:left w:val="nil"/>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 </w:t>
            </w:r>
          </w:p>
        </w:tc>
        <w:tc>
          <w:tcPr>
            <w:tcW w:w="2957"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000000" w:themeColor="text1"/>
                <w:kern w:val="0"/>
                <w:sz w:val="18"/>
                <w:szCs w:val="18"/>
                <w14:textFill>
                  <w14:solidFill>
                    <w14:schemeClr w14:val="tx1"/>
                  </w14:solidFill>
                </w14:textFill>
              </w:rPr>
            </w:pPr>
            <w:r>
              <w:rPr>
                <w:rFonts w:hint="eastAsia" w:ascii="Times New Roman" w:hAnsi="Times New Roman" w:cs="Times New Roman"/>
                <w:b/>
                <w:color w:val="000000" w:themeColor="text1"/>
                <w:kern w:val="0"/>
                <w:szCs w:val="21"/>
                <w14:textFill>
                  <w14:solidFill>
                    <w14:schemeClr w14:val="tx1"/>
                  </w14:solidFill>
                </w14:textFill>
              </w:rPr>
              <w:t>企业法人单位（个）</w:t>
            </w:r>
          </w:p>
        </w:tc>
        <w:tc>
          <w:tcPr>
            <w:tcW w:w="2440" w:type="dxa"/>
            <w:tcBorders>
              <w:top w:val="nil"/>
              <w:left w:val="single" w:color="auto" w:sz="4" w:space="0"/>
              <w:bottom w:val="single" w:color="auto" w:sz="4" w:space="0"/>
              <w:right w:val="nil"/>
            </w:tcBorders>
            <w:vAlign w:val="center"/>
          </w:tcPr>
          <w:p>
            <w:pPr>
              <w:widowControl/>
              <w:spacing w:line="240" w:lineRule="atLeast"/>
              <w:ind w:left="57" w:right="57"/>
              <w:jc w:val="center"/>
              <w:rPr>
                <w:rFonts w:ascii="Times New Roman" w:hAnsi="Times New Roman" w:cs="Times New Roman"/>
                <w:b/>
                <w:color w:val="000000" w:themeColor="text1"/>
                <w:kern w:val="0"/>
                <w:sz w:val="18"/>
                <w:szCs w:val="18"/>
                <w14:textFill>
                  <w14:solidFill>
                    <w14:schemeClr w14:val="tx1"/>
                  </w14:solidFill>
                </w14:textFill>
              </w:rPr>
            </w:pPr>
            <w:r>
              <w:rPr>
                <w:rFonts w:hint="eastAsia" w:ascii="Times New Roman" w:hAnsi="Times New Roman" w:cs="Times New Roman"/>
                <w:b/>
                <w:color w:val="000000" w:themeColor="text1"/>
                <w:kern w:val="0"/>
                <w:szCs w:val="21"/>
                <w14:textFill>
                  <w14:solidFill>
                    <w14:schemeClr w14:val="tx1"/>
                  </w14:solidFill>
                </w14:textFill>
              </w:rPr>
              <w:t>从业人员（人）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909" w:type="dxa"/>
            <w:tcBorders>
              <w:top w:val="single" w:color="auto" w:sz="4" w:space="0"/>
              <w:left w:val="nil"/>
              <w:bottom w:val="nil"/>
              <w:right w:val="single" w:color="auto" w:sz="4" w:space="0"/>
            </w:tcBorders>
            <w:vAlign w:val="center"/>
          </w:tcPr>
          <w:p>
            <w:pPr>
              <w:widowControl/>
              <w:spacing w:line="240" w:lineRule="atLeast"/>
              <w:ind w:left="57" w:right="57" w:firstLine="1054" w:firstLineChars="500"/>
              <w:jc w:val="both"/>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b/>
                <w:bCs/>
                <w:color w:val="000000" w:themeColor="text1"/>
                <w:kern w:val="0"/>
                <w:szCs w:val="21"/>
                <w14:textFill>
                  <w14:solidFill>
                    <w14:schemeClr w14:val="tx1"/>
                  </w14:solidFill>
                </w14:textFill>
              </w:rPr>
              <w:t>合　计</w:t>
            </w:r>
          </w:p>
        </w:tc>
        <w:tc>
          <w:tcPr>
            <w:tcW w:w="2957" w:type="dxa"/>
            <w:tcBorders>
              <w:top w:val="single" w:color="auto" w:sz="4" w:space="0"/>
              <w:left w:val="single" w:color="auto" w:sz="4" w:space="0"/>
              <w:bottom w:val="nil"/>
              <w:right w:val="single" w:color="auto" w:sz="4" w:space="0"/>
            </w:tcBorders>
            <w:vAlign w:val="center"/>
          </w:tcPr>
          <w:p>
            <w:pPr>
              <w:widowControl/>
              <w:spacing w:line="240" w:lineRule="atLeast"/>
              <w:ind w:left="57" w:right="57"/>
              <w:jc w:val="right"/>
              <w:rPr>
                <w:rFonts w:ascii="Times New Roman" w:hAnsi="Times New Roman" w:cs="Times New Roman"/>
                <w:b/>
                <w:color w:val="000000" w:themeColor="text1"/>
                <w:kern w:val="0"/>
                <w:sz w:val="18"/>
                <w:szCs w:val="18"/>
                <w14:textFill>
                  <w14:solidFill>
                    <w14:schemeClr w14:val="tx1"/>
                  </w14:solidFill>
                </w14:textFill>
              </w:rPr>
            </w:pPr>
            <w:r>
              <w:rPr>
                <w:rFonts w:hint="eastAsia" w:ascii="Times New Roman" w:hAnsi="Times New Roman" w:cs="Times New Roman"/>
                <w:b/>
                <w:color w:val="000000" w:themeColor="text1"/>
                <w:kern w:val="0"/>
                <w:sz w:val="18"/>
                <w:szCs w:val="18"/>
                <w14:textFill>
                  <w14:solidFill>
                    <w14:schemeClr w14:val="tx1"/>
                  </w14:solidFill>
                </w14:textFill>
              </w:rPr>
              <w:t>8</w:t>
            </w:r>
          </w:p>
        </w:tc>
        <w:tc>
          <w:tcPr>
            <w:tcW w:w="2440" w:type="dxa"/>
            <w:tcBorders>
              <w:top w:val="single" w:color="auto" w:sz="4" w:space="0"/>
              <w:left w:val="single" w:color="auto" w:sz="4" w:space="0"/>
              <w:bottom w:val="nil"/>
              <w:right w:val="nil"/>
            </w:tcBorders>
            <w:vAlign w:val="center"/>
          </w:tcPr>
          <w:p>
            <w:pPr>
              <w:widowControl/>
              <w:spacing w:line="240" w:lineRule="atLeast"/>
              <w:ind w:left="57" w:right="57"/>
              <w:jc w:val="right"/>
              <w:rPr>
                <w:rFonts w:hint="default" w:ascii="Times New Roman" w:hAnsi="Times New Roman" w:cs="Times New Roman" w:eastAsiaTheme="minorEastAsia"/>
                <w:b/>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color w:val="000000" w:themeColor="text1"/>
                <w:kern w:val="0"/>
                <w:sz w:val="18"/>
                <w:szCs w:val="18"/>
                <w:lang w:val="en-US" w:eastAsia="zh-CN"/>
                <w14:textFill>
                  <w14:solidFill>
                    <w14:schemeClr w14:val="tx1"/>
                  </w14:solidFill>
                </w14:textFill>
              </w:rPr>
              <w:t>60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909" w:type="dxa"/>
            <w:tcBorders>
              <w:top w:val="nil"/>
              <w:left w:val="nil"/>
              <w:bottom w:val="nil"/>
              <w:right w:val="single" w:color="auto" w:sz="4" w:space="0"/>
            </w:tcBorders>
            <w:vAlign w:val="center"/>
          </w:tcPr>
          <w:p>
            <w:pPr>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　研究和试</w:t>
            </w:r>
            <w:r>
              <w:rPr>
                <w:rFonts w:ascii="Times New Roman" w:hAnsi="Times New Roman" w:cs="Times New Roman"/>
                <w:color w:val="000000" w:themeColor="text1"/>
                <w:kern w:val="0"/>
                <w:szCs w:val="21"/>
                <w14:textFill>
                  <w14:solidFill>
                    <w14:schemeClr w14:val="tx1"/>
                  </w14:solidFill>
                </w14:textFill>
              </w:rPr>
              <w:t>验发展</w:t>
            </w:r>
          </w:p>
        </w:tc>
        <w:tc>
          <w:tcPr>
            <w:tcW w:w="2957" w:type="dxa"/>
            <w:tcBorders>
              <w:top w:val="nil"/>
              <w:left w:val="single" w:color="auto" w:sz="4" w:space="0"/>
              <w:bottom w:val="nil"/>
              <w:right w:val="single" w:color="auto" w:sz="4" w:space="0"/>
            </w:tcBorders>
            <w:vAlign w:val="center"/>
          </w:tcPr>
          <w:p>
            <w:pPr>
              <w:widowControl/>
              <w:spacing w:line="240" w:lineRule="atLeast"/>
              <w:ind w:left="57" w:right="57"/>
              <w:jc w:val="right"/>
              <w:rPr>
                <w:rFonts w:ascii="Times New Roman" w:hAnsi="Times New Roman" w:cs="Times New Roman"/>
                <w:b w:val="0"/>
                <w:bCs/>
                <w:color w:val="000000" w:themeColor="text1"/>
                <w:kern w:val="0"/>
                <w:sz w:val="18"/>
                <w:szCs w:val="18"/>
                <w14:textFill>
                  <w14:solidFill>
                    <w14:schemeClr w14:val="tx1"/>
                  </w14:solidFill>
                </w14:textFill>
              </w:rPr>
            </w:pPr>
            <w:r>
              <w:rPr>
                <w:rFonts w:hint="eastAsia" w:ascii="Times New Roman" w:hAnsi="Times New Roman" w:cs="Times New Roman"/>
                <w:b w:val="0"/>
                <w:bCs/>
                <w:color w:val="000000" w:themeColor="text1"/>
                <w:kern w:val="0"/>
                <w:sz w:val="18"/>
                <w:szCs w:val="18"/>
                <w14:textFill>
                  <w14:solidFill>
                    <w14:schemeClr w14:val="tx1"/>
                  </w14:solidFill>
                </w14:textFill>
              </w:rPr>
              <w:t>0</w:t>
            </w:r>
          </w:p>
        </w:tc>
        <w:tc>
          <w:tcPr>
            <w:tcW w:w="2440" w:type="dxa"/>
            <w:tcBorders>
              <w:top w:val="nil"/>
              <w:left w:val="single" w:color="auto" w:sz="4" w:space="0"/>
              <w:bottom w:val="nil"/>
              <w:right w:val="nil"/>
            </w:tcBorders>
            <w:vAlign w:val="center"/>
          </w:tcPr>
          <w:p>
            <w:pPr>
              <w:widowControl/>
              <w:spacing w:line="240" w:lineRule="atLeast"/>
              <w:ind w:left="57" w:right="57"/>
              <w:jc w:val="right"/>
              <w:rPr>
                <w:rFonts w:ascii="Times New Roman" w:hAnsi="Times New Roman" w:cs="Times New Roman"/>
                <w:b w:val="0"/>
                <w:bCs/>
                <w:color w:val="000000" w:themeColor="text1"/>
                <w:kern w:val="0"/>
                <w:sz w:val="18"/>
                <w:szCs w:val="18"/>
                <w14:textFill>
                  <w14:solidFill>
                    <w14:schemeClr w14:val="tx1"/>
                  </w14:solidFill>
                </w14:textFill>
              </w:rPr>
            </w:pPr>
            <w:r>
              <w:rPr>
                <w:rFonts w:hint="eastAsia" w:ascii="Times New Roman" w:hAnsi="Times New Roman" w:cs="Times New Roman"/>
                <w:b w:val="0"/>
                <w:bCs/>
                <w:color w:val="000000" w:themeColor="text1"/>
                <w:kern w:val="0"/>
                <w:sz w:val="18"/>
                <w:szCs w:val="18"/>
                <w14:textFill>
                  <w14:solidFill>
                    <w14:schemeClr w14:val="tx1"/>
                  </w14:solidFill>
                </w14:textFill>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909" w:type="dxa"/>
            <w:tcBorders>
              <w:top w:val="nil"/>
              <w:left w:val="nil"/>
              <w:bottom w:val="nil"/>
              <w:right w:val="single" w:color="auto" w:sz="4" w:space="0"/>
            </w:tcBorders>
            <w:vAlign w:val="center"/>
          </w:tcPr>
          <w:p>
            <w:pPr>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　专业技术服务业</w:t>
            </w:r>
          </w:p>
        </w:tc>
        <w:tc>
          <w:tcPr>
            <w:tcW w:w="2957"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eastAsia" w:ascii="Times New Roman" w:hAnsi="Times New Roman" w:cs="Times New Roman" w:eastAsiaTheme="minorEastAsia"/>
                <w:b w:val="0"/>
                <w:bCs/>
                <w:color w:val="000000" w:themeColor="text1"/>
                <w:kern w:val="0"/>
                <w:sz w:val="18"/>
                <w:szCs w:val="18"/>
                <w:lang w:eastAsia="zh-CN"/>
                <w14:textFill>
                  <w14:solidFill>
                    <w14:schemeClr w14:val="tx1"/>
                  </w14:solidFill>
                </w14:textFill>
              </w:rPr>
            </w:pPr>
            <w:r>
              <w:rPr>
                <w:rFonts w:hint="eastAsia" w:ascii="Times New Roman" w:hAnsi="Times New Roman" w:cs="Times New Roman"/>
                <w:b w:val="0"/>
                <w:bCs/>
                <w:color w:val="000000" w:themeColor="text1"/>
                <w:kern w:val="0"/>
                <w:sz w:val="18"/>
                <w:szCs w:val="18"/>
                <w:lang w:val="en-US" w:eastAsia="zh-CN"/>
                <w14:textFill>
                  <w14:solidFill>
                    <w14:schemeClr w14:val="tx1"/>
                  </w14:solidFill>
                </w14:textFill>
              </w:rPr>
              <w:t>6</w:t>
            </w:r>
          </w:p>
        </w:tc>
        <w:tc>
          <w:tcPr>
            <w:tcW w:w="2440" w:type="dxa"/>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cs="Times New Roman" w:eastAsiaTheme="minorEastAsia"/>
                <w:b w:val="0"/>
                <w:bCs/>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val="0"/>
                <w:bCs/>
                <w:color w:val="000000" w:themeColor="text1"/>
                <w:kern w:val="0"/>
                <w:sz w:val="18"/>
                <w:szCs w:val="18"/>
                <w:lang w:val="en-US" w:eastAsia="zh-CN"/>
                <w14:textFill>
                  <w14:solidFill>
                    <w14:schemeClr w14:val="tx1"/>
                  </w14:solidFill>
                </w14:textFill>
              </w:rPr>
              <w:t>59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909" w:type="dxa"/>
            <w:tcBorders>
              <w:top w:val="nil"/>
              <w:left w:val="nil"/>
              <w:bottom w:val="single" w:color="auto" w:sz="12" w:space="0"/>
              <w:right w:val="single" w:color="auto" w:sz="4" w:space="0"/>
            </w:tcBorders>
            <w:vAlign w:val="center"/>
          </w:tcPr>
          <w:p>
            <w:pPr>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　科技推广和应用服务业</w:t>
            </w:r>
          </w:p>
        </w:tc>
        <w:tc>
          <w:tcPr>
            <w:tcW w:w="2957" w:type="dxa"/>
            <w:tcBorders>
              <w:top w:val="nil"/>
              <w:left w:val="single" w:color="auto" w:sz="4" w:space="0"/>
              <w:bottom w:val="single" w:color="auto" w:sz="12" w:space="0"/>
              <w:right w:val="single" w:color="auto" w:sz="4" w:space="0"/>
            </w:tcBorders>
            <w:vAlign w:val="center"/>
          </w:tcPr>
          <w:p>
            <w:pPr>
              <w:widowControl/>
              <w:spacing w:line="240" w:lineRule="atLeast"/>
              <w:ind w:left="57" w:right="57"/>
              <w:jc w:val="right"/>
              <w:rPr>
                <w:rFonts w:hint="eastAsia" w:ascii="Times New Roman" w:hAnsi="Times New Roman" w:cs="Times New Roman" w:eastAsiaTheme="minorEastAsia"/>
                <w:b w:val="0"/>
                <w:bCs/>
                <w:color w:val="000000" w:themeColor="text1"/>
                <w:kern w:val="0"/>
                <w:sz w:val="18"/>
                <w:szCs w:val="18"/>
                <w:lang w:eastAsia="zh-CN"/>
                <w14:textFill>
                  <w14:solidFill>
                    <w14:schemeClr w14:val="tx1"/>
                  </w14:solidFill>
                </w14:textFill>
              </w:rPr>
            </w:pPr>
            <w:r>
              <w:rPr>
                <w:rFonts w:hint="eastAsia" w:ascii="Times New Roman" w:hAnsi="Times New Roman" w:cs="Times New Roman"/>
                <w:b w:val="0"/>
                <w:bCs/>
                <w:color w:val="000000" w:themeColor="text1"/>
                <w:kern w:val="0"/>
                <w:sz w:val="18"/>
                <w:szCs w:val="18"/>
                <w:lang w:val="en-US" w:eastAsia="zh-CN"/>
                <w14:textFill>
                  <w14:solidFill>
                    <w14:schemeClr w14:val="tx1"/>
                  </w14:solidFill>
                </w14:textFill>
              </w:rPr>
              <w:t>2</w:t>
            </w:r>
          </w:p>
        </w:tc>
        <w:tc>
          <w:tcPr>
            <w:tcW w:w="2440" w:type="dxa"/>
            <w:tcBorders>
              <w:top w:val="nil"/>
              <w:left w:val="single" w:color="auto" w:sz="4" w:space="0"/>
              <w:bottom w:val="single" w:color="auto" w:sz="12" w:space="0"/>
              <w:right w:val="nil"/>
            </w:tcBorders>
            <w:vAlign w:val="center"/>
          </w:tcPr>
          <w:p>
            <w:pPr>
              <w:widowControl/>
              <w:spacing w:line="240" w:lineRule="atLeast"/>
              <w:ind w:left="57" w:right="57"/>
              <w:jc w:val="right"/>
              <w:rPr>
                <w:rFonts w:hint="eastAsia" w:ascii="Times New Roman" w:hAnsi="Times New Roman" w:cs="Times New Roman" w:eastAsiaTheme="minorEastAsia"/>
                <w:b w:val="0"/>
                <w:bCs/>
                <w:color w:val="000000" w:themeColor="text1"/>
                <w:kern w:val="0"/>
                <w:sz w:val="18"/>
                <w:szCs w:val="18"/>
                <w:lang w:eastAsia="zh-CN"/>
                <w14:textFill>
                  <w14:solidFill>
                    <w14:schemeClr w14:val="tx1"/>
                  </w14:solidFill>
                </w14:textFill>
              </w:rPr>
            </w:pPr>
            <w:r>
              <w:rPr>
                <w:rFonts w:hint="eastAsia" w:ascii="Times New Roman" w:hAnsi="Times New Roman" w:cs="Times New Roman"/>
                <w:b w:val="0"/>
                <w:bCs/>
                <w:color w:val="000000" w:themeColor="text1"/>
                <w:kern w:val="0"/>
                <w:sz w:val="18"/>
                <w:szCs w:val="18"/>
                <w:lang w:val="en-US" w:eastAsia="zh-CN"/>
                <w14:textFill>
                  <w14:solidFill>
                    <w14:schemeClr w14:val="tx1"/>
                  </w14:solidFill>
                </w14:textFill>
              </w:rPr>
              <w:t>1</w:t>
            </w:r>
          </w:p>
        </w:tc>
      </w:tr>
    </w:tbl>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在科学研究和技术服务业企业法人单位</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中，内资企业占</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87.5%，其他统计类别占12.5%。</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rPr>
      </w:pPr>
      <w:r>
        <w:rPr>
          <w:rFonts w:hint="eastAsia" w:ascii="Times New Roman" w:hAnsi="Times New Roman" w:eastAsia="方正仿宋_GBK" w:cs="Times New Roman"/>
          <w:color w:val="auto"/>
          <w:kern w:val="0"/>
          <w:sz w:val="32"/>
          <w:szCs w:val="32"/>
        </w:rPr>
        <w:t>在科学研究和技术服务业企业法人单位从业人员中，内资企业占</w:t>
      </w:r>
      <w:r>
        <w:rPr>
          <w:rFonts w:ascii="Times New Roman" w:hAnsi="Times New Roman" w:eastAsia="方正仿宋_GBK" w:cs="Times New Roman"/>
          <w:color w:val="auto"/>
          <w:sz w:val="32"/>
          <w:szCs w:val="32"/>
        </w:rPr>
        <w:t>100</w:t>
      </w:r>
      <w:r>
        <w:rPr>
          <w:rFonts w:hint="eastAsia" w:ascii="Times New Roman" w:hAnsi="Times New Roman" w:eastAsia="方正仿宋_GBK" w:cs="Times New Roman"/>
          <w:color w:val="auto"/>
          <w:kern w:val="0"/>
          <w:sz w:val="32"/>
          <w:szCs w:val="32"/>
        </w:rPr>
        <w:t>%（详见表</w:t>
      </w:r>
      <w:r>
        <w:rPr>
          <w:rFonts w:ascii="Times New Roman" w:hAnsi="Times New Roman" w:eastAsia="方正仿宋_GBK" w:cs="Times New Roman"/>
          <w:color w:val="auto"/>
          <w:kern w:val="0"/>
          <w:sz w:val="32"/>
          <w:szCs w:val="32"/>
        </w:rPr>
        <w:t>5-2</w:t>
      </w:r>
      <w:r>
        <w:rPr>
          <w:rFonts w:hint="eastAsia" w:ascii="Times New Roman" w:hAnsi="Times New Roman" w:eastAsia="方正仿宋_GBK" w:cs="Times New Roman"/>
          <w:color w:val="auto"/>
          <w:kern w:val="0"/>
          <w:sz w:val="32"/>
          <w:szCs w:val="32"/>
        </w:rPr>
        <w:t>）。</w:t>
      </w:r>
    </w:p>
    <w:tbl>
      <w:tblPr>
        <w:tblStyle w:val="8"/>
        <w:tblW w:w="830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219"/>
        <w:gridCol w:w="2826"/>
        <w:gridCol w:w="226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306" w:type="dxa"/>
            <w:gridSpan w:val="3"/>
            <w:tcBorders>
              <w:top w:val="nil"/>
              <w:left w:val="nil"/>
              <w:bottom w:val="single" w:color="auto" w:sz="12" w:space="0"/>
              <w:right w:val="nil"/>
            </w:tcBorders>
            <w:shd w:val="clear" w:color="auto" w:fill="FFFFFF"/>
            <w:vAlign w:val="center"/>
          </w:tcPr>
          <w:p>
            <w:pPr>
              <w:widowControl/>
              <w:spacing w:line="320" w:lineRule="atLeast"/>
              <w:ind w:left="57" w:right="57"/>
              <w:jc w:val="center"/>
              <w:rPr>
                <w:rFonts w:hint="eastAsia" w:ascii="Times New Roman" w:hAnsi="Times New Roman" w:cs="Times New Roman"/>
                <w:b/>
                <w:bCs/>
                <w:color w:val="auto"/>
                <w:kern w:val="0"/>
                <w:sz w:val="24"/>
              </w:rPr>
            </w:pPr>
            <w:r>
              <w:rPr>
                <w:rFonts w:hint="eastAsia" w:ascii="Times New Roman" w:hAnsi="Times New Roman" w:cs="Times New Roman"/>
                <w:b/>
                <w:bCs/>
                <w:color w:val="auto"/>
                <w:kern w:val="0"/>
                <w:sz w:val="24"/>
              </w:rPr>
              <w:t>表</w:t>
            </w:r>
            <w:r>
              <w:rPr>
                <w:rFonts w:ascii="Times New Roman" w:hAnsi="Times New Roman" w:cs="Times New Roman"/>
                <w:b/>
                <w:bCs/>
                <w:color w:val="auto"/>
                <w:kern w:val="0"/>
                <w:sz w:val="24"/>
              </w:rPr>
              <w:t>5-2</w:t>
            </w:r>
            <w:r>
              <w:rPr>
                <w:rFonts w:hint="eastAsia" w:ascii="Times New Roman" w:hAnsi="Times New Roman" w:cs="Times New Roman"/>
                <w:b/>
                <w:bCs/>
                <w:color w:val="auto"/>
                <w:kern w:val="0"/>
                <w:sz w:val="24"/>
              </w:rPr>
              <w:t>　按登记注册</w:t>
            </w:r>
            <w:r>
              <w:rPr>
                <w:rFonts w:hint="eastAsia" w:ascii="Times New Roman" w:hAnsi="Times New Roman" w:cs="Times New Roman"/>
                <w:b/>
                <w:bCs/>
                <w:color w:val="auto"/>
                <w:kern w:val="0"/>
                <w:sz w:val="24"/>
                <w:lang w:eastAsia="zh-CN"/>
              </w:rPr>
              <w:t>统计类别</w:t>
            </w:r>
            <w:r>
              <w:rPr>
                <w:rFonts w:hint="eastAsia" w:ascii="Times New Roman" w:hAnsi="Times New Roman" w:cs="Times New Roman"/>
                <w:b/>
                <w:bCs/>
                <w:color w:val="auto"/>
                <w:kern w:val="0"/>
                <w:sz w:val="24"/>
              </w:rPr>
              <w:t>分组的科学研究和技术服务业</w:t>
            </w:r>
          </w:p>
          <w:p>
            <w:pPr>
              <w:widowControl/>
              <w:spacing w:line="320" w:lineRule="atLeast"/>
              <w:ind w:left="57" w:right="57"/>
              <w:jc w:val="center"/>
              <w:rPr>
                <w:rFonts w:ascii="Times New Roman" w:hAnsi="Times New Roman" w:cs="Times New Roman"/>
                <w:color w:val="auto"/>
                <w:kern w:val="0"/>
                <w:sz w:val="24"/>
              </w:rPr>
            </w:pPr>
            <w:r>
              <w:rPr>
                <w:rFonts w:hint="eastAsia" w:ascii="Times New Roman" w:hAnsi="Times New Roman" w:cs="Times New Roman"/>
                <w:b/>
                <w:bCs/>
                <w:color w:val="auto"/>
                <w:kern w:val="0"/>
                <w:sz w:val="24"/>
              </w:rPr>
              <w:t>企业法人单位和从业人员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219" w:type="dxa"/>
            <w:tcBorders>
              <w:top w:val="nil"/>
              <w:left w:val="nil"/>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 w:val="18"/>
                <w:szCs w:val="18"/>
              </w:rPr>
            </w:pPr>
            <w:r>
              <w:rPr>
                <w:rFonts w:ascii="Times New Roman" w:hAnsi="Times New Roman" w:cs="Times New Roman"/>
                <w:b/>
                <w:color w:val="auto"/>
                <w:kern w:val="0"/>
                <w:szCs w:val="21"/>
              </w:rPr>
              <w:t> </w:t>
            </w:r>
          </w:p>
        </w:tc>
        <w:tc>
          <w:tcPr>
            <w:tcW w:w="2826"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企业法人单位</w:t>
            </w:r>
            <w:r>
              <w:rPr>
                <w:rFonts w:ascii="Times New Roman" w:hAnsi="Times New Roman" w:cs="Times New Roman"/>
                <w:b/>
                <w:color w:val="auto"/>
                <w:kern w:val="0"/>
                <w:szCs w:val="21"/>
              </w:rPr>
              <w:t>(</w:t>
            </w:r>
            <w:r>
              <w:rPr>
                <w:rFonts w:hint="eastAsia" w:ascii="Times New Roman" w:hAnsi="Times New Roman" w:cs="Times New Roman"/>
                <w:b/>
                <w:color w:val="auto"/>
                <w:kern w:val="0"/>
                <w:szCs w:val="21"/>
              </w:rPr>
              <w:t>个</w:t>
            </w:r>
            <w:r>
              <w:rPr>
                <w:rFonts w:ascii="Times New Roman" w:hAnsi="Times New Roman" w:cs="Times New Roman"/>
                <w:b/>
                <w:color w:val="auto"/>
                <w:kern w:val="0"/>
                <w:szCs w:val="21"/>
              </w:rPr>
              <w:t>)</w:t>
            </w:r>
          </w:p>
        </w:tc>
        <w:tc>
          <w:tcPr>
            <w:tcW w:w="2261" w:type="dxa"/>
            <w:tcBorders>
              <w:top w:val="nil"/>
              <w:left w:val="single" w:color="auto" w:sz="4" w:space="0"/>
              <w:bottom w:val="single" w:color="auto" w:sz="4" w:space="0"/>
              <w:right w:val="nil"/>
            </w:tcBorders>
            <w:vAlign w:val="center"/>
          </w:tcPr>
          <w:p>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从业人员</w:t>
            </w:r>
            <w:r>
              <w:rPr>
                <w:rFonts w:ascii="Times New Roman" w:hAnsi="Times New Roman" w:cs="Times New Roman"/>
                <w:b/>
                <w:color w:val="auto"/>
                <w:kern w:val="0"/>
                <w:szCs w:val="21"/>
              </w:rPr>
              <w:t>(</w:t>
            </w:r>
            <w:r>
              <w:rPr>
                <w:rFonts w:hint="eastAsia" w:ascii="Times New Roman" w:hAnsi="Times New Roman" w:cs="Times New Roman"/>
                <w:b/>
                <w:color w:val="auto"/>
                <w:kern w:val="0"/>
                <w:szCs w:val="21"/>
              </w:rPr>
              <w:t>人</w:t>
            </w:r>
            <w:r>
              <w:rPr>
                <w:rFonts w:ascii="Times New Roman" w:hAnsi="Times New Roman" w:cs="Times New Roman"/>
                <w:b/>
                <w:color w:val="auto"/>
                <w:kern w:val="0"/>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219" w:type="dxa"/>
            <w:tcBorders>
              <w:top w:val="single" w:color="auto" w:sz="4" w:space="0"/>
              <w:left w:val="nil"/>
              <w:bottom w:val="nil"/>
              <w:right w:val="single" w:color="auto" w:sz="4" w:space="0"/>
            </w:tcBorders>
            <w:vAlign w:val="center"/>
          </w:tcPr>
          <w:p>
            <w:pPr>
              <w:widowControl/>
              <w:spacing w:line="240" w:lineRule="atLeast"/>
              <w:ind w:left="57" w:right="57"/>
              <w:jc w:val="center"/>
              <w:rPr>
                <w:rFonts w:ascii="Times New Roman" w:hAnsi="Times New Roman" w:cs="Times New Roman"/>
                <w:color w:val="auto"/>
                <w:kern w:val="0"/>
                <w:sz w:val="18"/>
                <w:szCs w:val="18"/>
              </w:rPr>
            </w:pPr>
            <w:r>
              <w:rPr>
                <w:rFonts w:hint="eastAsia" w:ascii="Times New Roman" w:hAnsi="Times New Roman" w:cs="Times New Roman"/>
                <w:b/>
                <w:bCs/>
                <w:color w:val="auto"/>
                <w:kern w:val="0"/>
                <w:szCs w:val="21"/>
              </w:rPr>
              <w:t>合　计</w:t>
            </w:r>
          </w:p>
        </w:tc>
        <w:tc>
          <w:tcPr>
            <w:tcW w:w="2826" w:type="dxa"/>
            <w:tcBorders>
              <w:top w:val="single" w:color="auto" w:sz="4" w:space="0"/>
              <w:left w:val="single" w:color="auto" w:sz="4" w:space="0"/>
              <w:bottom w:val="nil"/>
              <w:right w:val="single" w:color="auto" w:sz="4" w:space="0"/>
            </w:tcBorders>
            <w:vAlign w:val="center"/>
          </w:tcPr>
          <w:p>
            <w:pPr>
              <w:widowControl/>
              <w:spacing w:line="240" w:lineRule="atLeast"/>
              <w:ind w:left="57" w:right="57"/>
              <w:jc w:val="right"/>
              <w:rPr>
                <w:rFonts w:ascii="Times New Roman" w:hAnsi="Times New Roman" w:cs="Times New Roman"/>
                <w:b/>
                <w:color w:val="auto"/>
                <w:kern w:val="0"/>
                <w:sz w:val="18"/>
                <w:szCs w:val="18"/>
              </w:rPr>
            </w:pPr>
            <w:r>
              <w:rPr>
                <w:rFonts w:hint="eastAsia" w:ascii="Times New Roman" w:hAnsi="Times New Roman" w:cs="Times New Roman"/>
                <w:b/>
                <w:color w:val="auto"/>
                <w:kern w:val="0"/>
                <w:sz w:val="18"/>
                <w:szCs w:val="18"/>
              </w:rPr>
              <w:t>8</w:t>
            </w:r>
          </w:p>
        </w:tc>
        <w:tc>
          <w:tcPr>
            <w:tcW w:w="2261" w:type="dxa"/>
            <w:tcBorders>
              <w:top w:val="single" w:color="auto" w:sz="4" w:space="0"/>
              <w:left w:val="single" w:color="auto" w:sz="4" w:space="0"/>
              <w:bottom w:val="nil"/>
              <w:right w:val="nil"/>
            </w:tcBorders>
            <w:vAlign w:val="center"/>
          </w:tcPr>
          <w:p>
            <w:pPr>
              <w:widowControl/>
              <w:spacing w:line="240" w:lineRule="atLeast"/>
              <w:ind w:left="57" w:right="57"/>
              <w:jc w:val="right"/>
              <w:rPr>
                <w:rFonts w:hint="default" w:ascii="Times New Roman" w:hAnsi="Times New Roman" w:cs="Times New Roman" w:eastAsiaTheme="minorEastAsia"/>
                <w:b/>
                <w:color w:val="auto"/>
                <w:kern w:val="0"/>
                <w:sz w:val="18"/>
                <w:szCs w:val="18"/>
                <w:lang w:val="en-US" w:eastAsia="zh-CN"/>
              </w:rPr>
            </w:pPr>
            <w:r>
              <w:rPr>
                <w:rFonts w:hint="eastAsia" w:ascii="Times New Roman" w:hAnsi="Times New Roman" w:cs="Times New Roman"/>
                <w:b/>
                <w:color w:val="auto"/>
                <w:kern w:val="0"/>
                <w:sz w:val="18"/>
                <w:szCs w:val="18"/>
                <w:lang w:val="en-US" w:eastAsia="zh-CN"/>
              </w:rPr>
              <w:t>60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219" w:type="dxa"/>
            <w:tcBorders>
              <w:top w:val="nil"/>
              <w:left w:val="nil"/>
              <w:bottom w:val="nil"/>
              <w:right w:val="single" w:color="auto" w:sz="4" w:space="0"/>
            </w:tcBorders>
            <w:vAlign w:val="center"/>
          </w:tcPr>
          <w:p>
            <w:pPr>
              <w:widowControl/>
              <w:spacing w:line="240" w:lineRule="atLeast"/>
              <w:ind w:left="57" w:right="57"/>
              <w:jc w:val="both"/>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Cs w:val="21"/>
              </w:rPr>
              <w:t>内资企业</w:t>
            </w:r>
          </w:p>
        </w:tc>
        <w:tc>
          <w:tcPr>
            <w:tcW w:w="2826"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eastAsia" w:ascii="Times New Roman" w:hAnsi="Times New Roman" w:cs="Times New Roman" w:eastAsiaTheme="minorEastAsia"/>
                <w:b w:val="0"/>
                <w:bCs/>
                <w:color w:val="auto"/>
                <w:kern w:val="0"/>
                <w:sz w:val="18"/>
                <w:szCs w:val="18"/>
                <w:lang w:eastAsia="zh-CN"/>
              </w:rPr>
            </w:pPr>
            <w:r>
              <w:rPr>
                <w:rFonts w:hint="eastAsia" w:ascii="Times New Roman" w:hAnsi="Times New Roman" w:cs="Times New Roman"/>
                <w:b w:val="0"/>
                <w:bCs/>
                <w:color w:val="auto"/>
                <w:kern w:val="0"/>
                <w:sz w:val="18"/>
                <w:szCs w:val="18"/>
                <w:lang w:val="en-US" w:eastAsia="zh-CN"/>
              </w:rPr>
              <w:t>7</w:t>
            </w:r>
          </w:p>
        </w:tc>
        <w:tc>
          <w:tcPr>
            <w:tcW w:w="2261" w:type="dxa"/>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cs="Times New Roman" w:eastAsiaTheme="minorEastAsia"/>
                <w:b w:val="0"/>
                <w:bCs/>
                <w:color w:val="auto"/>
                <w:kern w:val="0"/>
                <w:sz w:val="18"/>
                <w:szCs w:val="18"/>
                <w:lang w:val="en-US" w:eastAsia="zh-CN"/>
              </w:rPr>
            </w:pPr>
            <w:r>
              <w:rPr>
                <w:rFonts w:hint="eastAsia" w:ascii="Times New Roman" w:hAnsi="Times New Roman" w:cs="Times New Roman"/>
                <w:b w:val="0"/>
                <w:bCs/>
                <w:color w:val="auto"/>
                <w:kern w:val="0"/>
                <w:sz w:val="18"/>
                <w:szCs w:val="18"/>
                <w:lang w:val="en-US" w:eastAsia="zh-CN"/>
              </w:rPr>
              <w:t>60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7" w:hRule="atLeast"/>
          <w:jc w:val="center"/>
        </w:trPr>
        <w:tc>
          <w:tcPr>
            <w:tcW w:w="3219" w:type="dxa"/>
            <w:tcBorders>
              <w:top w:val="nil"/>
              <w:left w:val="nil"/>
              <w:bottom w:val="nil"/>
              <w:right w:val="single" w:color="auto" w:sz="4" w:space="0"/>
            </w:tcBorders>
            <w:vAlign w:val="center"/>
          </w:tcPr>
          <w:p>
            <w:pPr>
              <w:widowControl/>
              <w:spacing w:line="240" w:lineRule="atLeast"/>
              <w:ind w:left="57" w:right="57"/>
              <w:jc w:val="both"/>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Cs w:val="21"/>
              </w:rPr>
              <w:t>港、澳、台商投资企业</w:t>
            </w:r>
          </w:p>
        </w:tc>
        <w:tc>
          <w:tcPr>
            <w:tcW w:w="2826" w:type="dxa"/>
            <w:tcBorders>
              <w:top w:val="nil"/>
              <w:left w:val="single" w:color="auto" w:sz="4" w:space="0"/>
              <w:bottom w:val="nil"/>
              <w:right w:val="single" w:color="auto" w:sz="4" w:space="0"/>
            </w:tcBorders>
            <w:vAlign w:val="center"/>
          </w:tcPr>
          <w:p>
            <w:pPr>
              <w:widowControl/>
              <w:spacing w:line="240" w:lineRule="atLeast"/>
              <w:ind w:left="57" w:right="57"/>
              <w:jc w:val="right"/>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 w:val="18"/>
                <w:szCs w:val="18"/>
              </w:rPr>
              <w:t>0</w:t>
            </w:r>
          </w:p>
        </w:tc>
        <w:tc>
          <w:tcPr>
            <w:tcW w:w="2261" w:type="dxa"/>
            <w:tcBorders>
              <w:top w:val="nil"/>
              <w:left w:val="single" w:color="auto" w:sz="4" w:space="0"/>
              <w:bottom w:val="nil"/>
              <w:right w:val="nil"/>
            </w:tcBorders>
            <w:vAlign w:val="center"/>
          </w:tcPr>
          <w:p>
            <w:pPr>
              <w:widowControl/>
              <w:spacing w:line="240" w:lineRule="atLeast"/>
              <w:ind w:left="57" w:right="57"/>
              <w:jc w:val="right"/>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 w:val="18"/>
                <w:szCs w:val="18"/>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219" w:type="dxa"/>
            <w:tcBorders>
              <w:top w:val="nil"/>
              <w:left w:val="nil"/>
              <w:bottom w:val="nil"/>
              <w:right w:val="single" w:color="auto" w:sz="4" w:space="0"/>
            </w:tcBorders>
            <w:vAlign w:val="center"/>
          </w:tcPr>
          <w:p>
            <w:pPr>
              <w:widowControl/>
              <w:spacing w:line="240" w:lineRule="atLeast"/>
              <w:ind w:left="57" w:right="57"/>
              <w:jc w:val="both"/>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Cs w:val="21"/>
              </w:rPr>
              <w:t>外商投资企业</w:t>
            </w:r>
          </w:p>
        </w:tc>
        <w:tc>
          <w:tcPr>
            <w:tcW w:w="2826" w:type="dxa"/>
            <w:tcBorders>
              <w:top w:val="nil"/>
              <w:left w:val="single" w:color="auto" w:sz="4" w:space="0"/>
              <w:bottom w:val="nil"/>
              <w:right w:val="single" w:color="auto" w:sz="4" w:space="0"/>
            </w:tcBorders>
            <w:vAlign w:val="center"/>
          </w:tcPr>
          <w:p>
            <w:pPr>
              <w:widowControl/>
              <w:spacing w:line="240" w:lineRule="atLeast"/>
              <w:ind w:left="57" w:right="57"/>
              <w:jc w:val="right"/>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 w:val="18"/>
                <w:szCs w:val="18"/>
              </w:rPr>
              <w:t>0</w:t>
            </w:r>
          </w:p>
        </w:tc>
        <w:tc>
          <w:tcPr>
            <w:tcW w:w="2261" w:type="dxa"/>
            <w:tcBorders>
              <w:top w:val="nil"/>
              <w:left w:val="single" w:color="auto" w:sz="4" w:space="0"/>
              <w:bottom w:val="nil"/>
              <w:right w:val="nil"/>
            </w:tcBorders>
            <w:vAlign w:val="center"/>
          </w:tcPr>
          <w:p>
            <w:pPr>
              <w:widowControl/>
              <w:spacing w:line="240" w:lineRule="atLeast"/>
              <w:ind w:left="57" w:right="57"/>
              <w:jc w:val="right"/>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 w:val="18"/>
                <w:szCs w:val="18"/>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219" w:type="dxa"/>
            <w:tcBorders>
              <w:top w:val="nil"/>
              <w:left w:val="nil"/>
              <w:bottom w:val="single" w:color="auto" w:sz="12" w:space="0"/>
              <w:right w:val="single" w:color="auto" w:sz="4" w:space="0"/>
            </w:tcBorders>
            <w:vAlign w:val="center"/>
          </w:tcPr>
          <w:p>
            <w:pPr>
              <w:widowControl/>
              <w:spacing w:line="240" w:lineRule="atLeast"/>
              <w:ind w:left="57" w:right="57"/>
              <w:jc w:val="both"/>
              <w:rPr>
                <w:rFonts w:hint="eastAsia" w:ascii="Times New Roman" w:hAnsi="Times New Roman" w:cs="Times New Roman" w:eastAsiaTheme="minorEastAsia"/>
                <w:b w:val="0"/>
                <w:bCs/>
                <w:color w:val="auto"/>
                <w:kern w:val="0"/>
                <w:szCs w:val="21"/>
                <w:lang w:eastAsia="zh-CN"/>
              </w:rPr>
            </w:pPr>
            <w:r>
              <w:rPr>
                <w:rFonts w:hint="eastAsia" w:ascii="Times New Roman" w:hAnsi="Times New Roman" w:cs="Times New Roman"/>
                <w:b w:val="0"/>
                <w:bCs/>
                <w:color w:val="auto"/>
                <w:kern w:val="0"/>
                <w:szCs w:val="21"/>
                <w:lang w:eastAsia="zh-CN"/>
              </w:rPr>
              <w:t>其他统计类别</w:t>
            </w:r>
          </w:p>
        </w:tc>
        <w:tc>
          <w:tcPr>
            <w:tcW w:w="2826" w:type="dxa"/>
            <w:tcBorders>
              <w:top w:val="nil"/>
              <w:left w:val="single" w:color="auto" w:sz="4" w:space="0"/>
              <w:bottom w:val="single" w:color="auto" w:sz="12" w:space="0"/>
              <w:right w:val="single" w:color="auto" w:sz="4" w:space="0"/>
            </w:tcBorders>
            <w:vAlign w:val="center"/>
          </w:tcPr>
          <w:p>
            <w:pPr>
              <w:widowControl/>
              <w:spacing w:line="240" w:lineRule="atLeast"/>
              <w:ind w:left="57" w:right="57"/>
              <w:jc w:val="right"/>
              <w:rPr>
                <w:rFonts w:hint="eastAsia" w:ascii="Times New Roman" w:hAnsi="Times New Roman" w:cs="Times New Roman" w:eastAsiaTheme="minorEastAsia"/>
                <w:b w:val="0"/>
                <w:bCs/>
                <w:color w:val="auto"/>
                <w:kern w:val="0"/>
                <w:sz w:val="18"/>
                <w:szCs w:val="18"/>
                <w:lang w:val="en-US" w:eastAsia="zh-CN"/>
              </w:rPr>
            </w:pPr>
            <w:r>
              <w:rPr>
                <w:rFonts w:hint="eastAsia" w:ascii="Times New Roman" w:hAnsi="Times New Roman" w:cs="Times New Roman"/>
                <w:b w:val="0"/>
                <w:bCs/>
                <w:color w:val="auto"/>
                <w:kern w:val="0"/>
                <w:sz w:val="18"/>
                <w:szCs w:val="18"/>
                <w:lang w:val="en-US" w:eastAsia="zh-CN"/>
              </w:rPr>
              <w:t>1</w:t>
            </w:r>
          </w:p>
        </w:tc>
        <w:tc>
          <w:tcPr>
            <w:tcW w:w="2261" w:type="dxa"/>
            <w:tcBorders>
              <w:top w:val="nil"/>
              <w:left w:val="single" w:color="auto" w:sz="4" w:space="0"/>
              <w:bottom w:val="single" w:color="auto" w:sz="12" w:space="0"/>
              <w:right w:val="nil"/>
            </w:tcBorders>
            <w:vAlign w:val="center"/>
          </w:tcPr>
          <w:p>
            <w:pPr>
              <w:widowControl/>
              <w:spacing w:line="240" w:lineRule="atLeast"/>
              <w:ind w:left="57" w:right="57"/>
              <w:jc w:val="right"/>
              <w:rPr>
                <w:rFonts w:hint="eastAsia" w:ascii="Times New Roman" w:hAnsi="Times New Roman" w:cs="Times New Roman" w:eastAsiaTheme="minorEastAsia"/>
                <w:b w:val="0"/>
                <w:bCs/>
                <w:color w:val="auto"/>
                <w:kern w:val="0"/>
                <w:sz w:val="18"/>
                <w:szCs w:val="18"/>
                <w:lang w:val="en-US" w:eastAsia="zh-CN"/>
              </w:rPr>
            </w:pPr>
            <w:r>
              <w:rPr>
                <w:rFonts w:hint="eastAsia" w:ascii="Times New Roman" w:hAnsi="Times New Roman" w:cs="Times New Roman"/>
                <w:b w:val="0"/>
                <w:bCs/>
                <w:color w:val="auto"/>
                <w:kern w:val="0"/>
                <w:sz w:val="18"/>
                <w:szCs w:val="18"/>
                <w:lang w:val="en-US" w:eastAsia="zh-CN"/>
              </w:rPr>
              <w:t>0</w:t>
            </w:r>
          </w:p>
        </w:tc>
      </w:tr>
    </w:tbl>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（二）主要</w:t>
      </w:r>
      <w:r>
        <w:rPr>
          <w:rFonts w:ascii="Times New Roman" w:hAnsi="Times New Roman" w:eastAsia="方正仿宋_GBK" w:cs="Times New Roman"/>
          <w:color w:val="000000" w:themeColor="text1"/>
          <w:kern w:val="0"/>
          <w:sz w:val="32"/>
          <w:szCs w:val="32"/>
          <w14:textFill>
            <w14:solidFill>
              <w14:schemeClr w14:val="tx1"/>
            </w14:solidFill>
          </w14:textFill>
        </w:rPr>
        <w:t>经济指标</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2023</w:t>
      </w:r>
      <w:r>
        <w:rPr>
          <w:rFonts w:hint="eastAsia" w:ascii="Times New Roman" w:hAnsi="Times New Roman" w:eastAsia="方正仿宋_GBK" w:cs="Times New Roman"/>
          <w:color w:val="000000" w:themeColor="text1"/>
          <w:kern w:val="0"/>
          <w:sz w:val="32"/>
          <w:szCs w:val="32"/>
          <w14:textFill>
            <w14:solidFill>
              <w14:schemeClr w14:val="tx1"/>
            </w14:solidFill>
          </w14:textFill>
        </w:rPr>
        <w:t>年末，科学研究和技术服务业企业法人单位资产总计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1090</w:t>
      </w:r>
      <w:r>
        <w:rPr>
          <w:rFonts w:hint="eastAsia" w:ascii="Times New Roman" w:hAnsi="Times New Roman" w:eastAsia="方正仿宋_GBK" w:cs="Times New Roman"/>
          <w:color w:val="000000" w:themeColor="text1"/>
          <w:sz w:val="32"/>
          <w:szCs w:val="32"/>
          <w14:textFill>
            <w14:solidFill>
              <w14:schemeClr w14:val="tx1"/>
            </w14:solidFill>
          </w14:textFill>
        </w:rPr>
        <w:t>万</w:t>
      </w:r>
      <w:r>
        <w:rPr>
          <w:rFonts w:hint="eastAsia" w:ascii="Times New Roman" w:hAnsi="Times New Roman" w:eastAsia="方正仿宋_GBK" w:cs="Times New Roman"/>
          <w:color w:val="000000" w:themeColor="text1"/>
          <w:kern w:val="0"/>
          <w:sz w:val="32"/>
          <w:szCs w:val="32"/>
          <w14:textFill>
            <w14:solidFill>
              <w14:schemeClr w14:val="tx1"/>
            </w14:solidFill>
          </w14:textFill>
        </w:rPr>
        <w:t>元，比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w:t>
      </w:r>
      <w:r>
        <w:rPr>
          <w:rFonts w:hint="eastAsia" w:ascii="Times New Roman" w:hAnsi="Times New Roman" w:eastAsia="方正仿宋_GBK" w:cs="Times New Roman"/>
          <w:color w:val="000000" w:themeColor="text1"/>
          <w:kern w:val="0"/>
          <w:sz w:val="32"/>
          <w:szCs w:val="32"/>
          <w14:textFill>
            <w14:solidFill>
              <w14:schemeClr w14:val="tx1"/>
            </w14:solidFill>
          </w14:textFill>
        </w:rPr>
        <w:t>年末下降</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29.4</w:t>
      </w:r>
      <w:r>
        <w:rPr>
          <w:rFonts w:hint="eastAsia" w:ascii="Times New Roman" w:hAnsi="Times New Roman" w:eastAsia="方正仿宋_GBK" w:cs="Times New Roman"/>
          <w:color w:val="000000" w:themeColor="text1"/>
          <w:kern w:val="0"/>
          <w:sz w:val="32"/>
          <w:szCs w:val="32"/>
          <w14:textFill>
            <w14:solidFill>
              <w14:schemeClr w14:val="tx1"/>
            </w14:solidFill>
          </w14:textFill>
        </w:rPr>
        <w:t>%。负债</w:t>
      </w:r>
      <w:r>
        <w:rPr>
          <w:rFonts w:ascii="Times New Roman" w:hAnsi="Times New Roman" w:eastAsia="方正仿宋_GBK" w:cs="Times New Roman"/>
          <w:color w:val="000000" w:themeColor="text1"/>
          <w:kern w:val="0"/>
          <w:sz w:val="32"/>
          <w:szCs w:val="32"/>
          <w14:textFill>
            <w14:solidFill>
              <w14:schemeClr w14:val="tx1"/>
            </w14:solidFill>
          </w14:textFill>
        </w:rPr>
        <w:t>合计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489.2</w:t>
      </w:r>
      <w:r>
        <w:rPr>
          <w:rFonts w:hint="eastAsia" w:ascii="Times New Roman" w:hAnsi="Times New Roman" w:eastAsia="方正仿宋_GBK" w:cs="Times New Roman"/>
          <w:color w:val="000000" w:themeColor="text1"/>
          <w:sz w:val="32"/>
          <w:szCs w:val="32"/>
          <w14:textFill>
            <w14:solidFill>
              <w14:schemeClr w14:val="tx1"/>
            </w14:solidFill>
          </w14:textFill>
        </w:rPr>
        <w:t>万</w:t>
      </w:r>
      <w:r>
        <w:rPr>
          <w:rFonts w:ascii="Times New Roman" w:hAnsi="Times New Roman" w:eastAsia="方正仿宋_GBK" w:cs="Times New Roman"/>
          <w:color w:val="000000" w:themeColor="text1"/>
          <w:kern w:val="0"/>
          <w:sz w:val="32"/>
          <w:szCs w:val="32"/>
          <w14:textFill>
            <w14:solidFill>
              <w14:schemeClr w14:val="tx1"/>
            </w14:solidFill>
          </w14:textFill>
        </w:rPr>
        <w:t>元</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2018年末下降57.0%。</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2023年，</w:t>
      </w:r>
      <w:r>
        <w:rPr>
          <w:rFonts w:hint="eastAsia" w:ascii="Times New Roman" w:hAnsi="Times New Roman" w:eastAsia="方正仿宋_GBK" w:cs="Times New Roman"/>
          <w:color w:val="000000" w:themeColor="text1"/>
          <w:kern w:val="0"/>
          <w:sz w:val="32"/>
          <w:szCs w:val="32"/>
          <w14:textFill>
            <w14:solidFill>
              <w14:schemeClr w14:val="tx1"/>
            </w14:solidFill>
          </w14:textFill>
        </w:rPr>
        <w:t>科学研究和技术服务业企业法人单位全年</w:t>
      </w:r>
      <w:r>
        <w:rPr>
          <w:rFonts w:ascii="Times New Roman" w:hAnsi="Times New Roman" w:eastAsia="方正仿宋_GBK" w:cs="Times New Roman"/>
          <w:color w:val="000000" w:themeColor="text1"/>
          <w:kern w:val="0"/>
          <w:sz w:val="32"/>
          <w:szCs w:val="32"/>
          <w14:textFill>
            <w14:solidFill>
              <w14:schemeClr w14:val="tx1"/>
            </w14:solidFill>
          </w14:textFill>
        </w:rPr>
        <w:t>实现营业收入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765.1</w:t>
      </w:r>
      <w:r>
        <w:rPr>
          <w:rFonts w:hint="eastAsia" w:ascii="Times New Roman" w:hAnsi="Times New Roman" w:eastAsia="方正仿宋_GBK" w:cs="Times New Roman"/>
          <w:color w:val="000000" w:themeColor="text1"/>
          <w:sz w:val="32"/>
          <w:szCs w:val="32"/>
          <w14:textFill>
            <w14:solidFill>
              <w14:schemeClr w14:val="tx1"/>
            </w14:solidFill>
          </w14:textFill>
        </w:rPr>
        <w:t>万</w:t>
      </w:r>
      <w:r>
        <w:rPr>
          <w:rFonts w:ascii="Times New Roman" w:hAnsi="Times New Roman" w:eastAsia="方正仿宋_GBK" w:cs="Times New Roman"/>
          <w:color w:val="000000" w:themeColor="text1"/>
          <w:kern w:val="0"/>
          <w:sz w:val="32"/>
          <w:szCs w:val="32"/>
          <w14:textFill>
            <w14:solidFill>
              <w14:schemeClr w14:val="tx1"/>
            </w14:solidFill>
          </w14:textFill>
        </w:rPr>
        <w:t>元</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2018年下降26.0%</w:t>
      </w:r>
      <w:r>
        <w:rPr>
          <w:rFonts w:hint="eastAsia" w:ascii="Times New Roman" w:hAnsi="Times New Roman" w:eastAsia="方正仿宋_GBK" w:cs="Times New Roman"/>
          <w:color w:val="000000" w:themeColor="text1"/>
          <w:kern w:val="0"/>
          <w:sz w:val="32"/>
          <w:szCs w:val="32"/>
          <w14:textFill>
            <w14:solidFill>
              <w14:schemeClr w14:val="tx1"/>
            </w14:solidFill>
          </w14:textFill>
        </w:rPr>
        <w:t>（详见表</w:t>
      </w:r>
      <w:r>
        <w:rPr>
          <w:rFonts w:ascii="Times New Roman" w:hAnsi="Times New Roman" w:eastAsia="方正仿宋_GBK" w:cs="Times New Roman"/>
          <w:color w:val="000000" w:themeColor="text1"/>
          <w:kern w:val="0"/>
          <w:sz w:val="32"/>
          <w:szCs w:val="32"/>
          <w14:textFill>
            <w14:solidFill>
              <w14:schemeClr w14:val="tx1"/>
            </w14:solidFill>
          </w14:textFill>
        </w:rPr>
        <w:t>5-3</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p>
    <w:tbl>
      <w:tblPr>
        <w:tblStyle w:val="8"/>
        <w:tblW w:w="873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110"/>
        <w:gridCol w:w="1540"/>
        <w:gridCol w:w="1540"/>
        <w:gridCol w:w="154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731" w:type="dxa"/>
            <w:gridSpan w:val="4"/>
            <w:tcBorders>
              <w:top w:val="nil"/>
              <w:left w:val="nil"/>
              <w:bottom w:val="single" w:color="auto" w:sz="12" w:space="0"/>
              <w:right w:val="nil"/>
            </w:tcBorders>
            <w:shd w:val="clear" w:color="auto" w:fill="FFFFFF"/>
            <w:vAlign w:val="center"/>
          </w:tcPr>
          <w:p>
            <w:pPr>
              <w:widowControl/>
              <w:spacing w:line="320" w:lineRule="atLeast"/>
              <w:ind w:left="57" w:right="57"/>
              <w:jc w:val="center"/>
              <w:rPr>
                <w:rFonts w:ascii="Times New Roman" w:hAnsi="Times New Roman" w:cs="Times New Roman"/>
                <w:b/>
                <w:bCs/>
                <w:color w:val="000000" w:themeColor="text1"/>
                <w:kern w:val="0"/>
                <w:sz w:val="24"/>
                <w14:textFill>
                  <w14:solidFill>
                    <w14:schemeClr w14:val="tx1"/>
                  </w14:solidFill>
                </w14:textFill>
              </w:rPr>
            </w:pPr>
            <w:r>
              <w:rPr>
                <w:rFonts w:hint="eastAsia" w:ascii="Times New Roman" w:hAnsi="Times New Roman" w:cs="Times New Roman"/>
                <w:b/>
                <w:bCs/>
                <w:color w:val="000000" w:themeColor="text1"/>
                <w:kern w:val="0"/>
                <w:sz w:val="24"/>
                <w14:textFill>
                  <w14:solidFill>
                    <w14:schemeClr w14:val="tx1"/>
                  </w14:solidFill>
                </w14:textFill>
              </w:rPr>
              <w:t>表</w:t>
            </w:r>
            <w:r>
              <w:rPr>
                <w:rFonts w:ascii="Times New Roman" w:hAnsi="Times New Roman" w:cs="Times New Roman"/>
                <w:b/>
                <w:bCs/>
                <w:color w:val="000000" w:themeColor="text1"/>
                <w:kern w:val="0"/>
                <w:sz w:val="24"/>
                <w14:textFill>
                  <w14:solidFill>
                    <w14:schemeClr w14:val="tx1"/>
                  </w14:solidFill>
                </w14:textFill>
              </w:rPr>
              <w:t>5-3</w:t>
            </w:r>
            <w:r>
              <w:rPr>
                <w:rFonts w:hint="eastAsia" w:ascii="Times New Roman" w:hAnsi="Times New Roman" w:cs="Times New Roman"/>
                <w:b/>
                <w:bCs/>
                <w:color w:val="000000" w:themeColor="text1"/>
                <w:kern w:val="0"/>
                <w:sz w:val="24"/>
                <w14:textFill>
                  <w14:solidFill>
                    <w14:schemeClr w14:val="tx1"/>
                  </w14:solidFill>
                </w14:textFill>
              </w:rPr>
              <w:t>　按行业大类分组的科学研究和技术服务业企业法人单位主要经济</w:t>
            </w:r>
            <w:r>
              <w:rPr>
                <w:rFonts w:ascii="Times New Roman" w:hAnsi="Times New Roman" w:cs="Times New Roman"/>
                <w:b/>
                <w:bCs/>
                <w:color w:val="000000" w:themeColor="text1"/>
                <w:kern w:val="0"/>
                <w:sz w:val="24"/>
                <w14:textFill>
                  <w14:solidFill>
                    <w14:schemeClr w14:val="tx1"/>
                  </w14:solidFill>
                </w14:textFill>
              </w:rPr>
              <w:t>指标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110" w:type="dxa"/>
            <w:tcBorders>
              <w:top w:val="nil"/>
              <w:left w:val="nil"/>
              <w:bottom w:val="single" w:color="auto" w:sz="4" w:space="0"/>
              <w:right w:val="single" w:color="auto" w:sz="4" w:space="0"/>
            </w:tcBorders>
            <w:vAlign w:val="center"/>
          </w:tcPr>
          <w:p>
            <w:pPr>
              <w:widowControl/>
              <w:spacing w:line="240" w:lineRule="atLeast"/>
              <w:ind w:right="57"/>
              <w:rPr>
                <w:rFonts w:ascii="Times New Roman" w:hAnsi="Times New Roman" w:cs="Times New Roman"/>
                <w:b/>
                <w:color w:val="000000" w:themeColor="text1"/>
                <w:kern w:val="0"/>
                <w:sz w:val="18"/>
                <w:szCs w:val="18"/>
                <w14:textFill>
                  <w14:solidFill>
                    <w14:schemeClr w14:val="tx1"/>
                  </w14:solidFill>
                </w14:textFill>
              </w:rPr>
            </w:pPr>
          </w:p>
        </w:tc>
        <w:tc>
          <w:tcPr>
            <w:tcW w:w="1540"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000000" w:themeColor="text1"/>
                <w:kern w:val="0"/>
                <w:szCs w:val="21"/>
                <w14:textFill>
                  <w14:solidFill>
                    <w14:schemeClr w14:val="tx1"/>
                  </w14:solidFill>
                </w14:textFill>
              </w:rPr>
            </w:pPr>
            <w:r>
              <w:rPr>
                <w:rFonts w:hint="eastAsia" w:ascii="Times New Roman" w:hAnsi="Times New Roman" w:cs="Times New Roman"/>
                <w:b/>
                <w:color w:val="000000" w:themeColor="text1"/>
                <w:kern w:val="0"/>
                <w:szCs w:val="21"/>
                <w14:textFill>
                  <w14:solidFill>
                    <w14:schemeClr w14:val="tx1"/>
                  </w14:solidFill>
                </w14:textFill>
              </w:rPr>
              <w:t>资产</w:t>
            </w:r>
            <w:r>
              <w:rPr>
                <w:rFonts w:ascii="Times New Roman" w:hAnsi="Times New Roman" w:cs="Times New Roman"/>
                <w:b/>
                <w:color w:val="000000" w:themeColor="text1"/>
                <w:kern w:val="0"/>
                <w:szCs w:val="21"/>
                <w14:textFill>
                  <w14:solidFill>
                    <w14:schemeClr w14:val="tx1"/>
                  </w14:solidFill>
                </w14:textFill>
              </w:rPr>
              <w:t>总计</w:t>
            </w:r>
          </w:p>
          <w:p>
            <w:pPr>
              <w:widowControl/>
              <w:spacing w:line="240" w:lineRule="atLeast"/>
              <w:ind w:left="57" w:right="57"/>
              <w:jc w:val="center"/>
              <w:rPr>
                <w:rFonts w:ascii="Times New Roman" w:hAnsi="Times New Roman" w:cs="Times New Roman"/>
                <w:b/>
                <w:color w:val="000000" w:themeColor="text1"/>
                <w:kern w:val="0"/>
                <w:szCs w:val="21"/>
                <w14:textFill>
                  <w14:solidFill>
                    <w14:schemeClr w14:val="tx1"/>
                  </w14:solidFill>
                </w14:textFill>
              </w:rPr>
            </w:pPr>
            <w:r>
              <w:rPr>
                <w:rFonts w:ascii="Times New Roman" w:hAnsi="Times New Roman" w:cs="Times New Roman"/>
                <w:b/>
                <w:color w:val="000000" w:themeColor="text1"/>
                <w:kern w:val="0"/>
                <w:szCs w:val="21"/>
                <w14:textFill>
                  <w14:solidFill>
                    <w14:schemeClr w14:val="tx1"/>
                  </w14:solidFill>
                </w14:textFill>
              </w:rPr>
              <w:t>（</w:t>
            </w:r>
            <w:r>
              <w:rPr>
                <w:rFonts w:hint="eastAsia" w:ascii="Times New Roman" w:hAnsi="Times New Roman" w:cs="Times New Roman"/>
                <w:b/>
                <w:color w:val="000000" w:themeColor="text1"/>
                <w:kern w:val="0"/>
                <w:szCs w:val="21"/>
                <w14:textFill>
                  <w14:solidFill>
                    <w14:schemeClr w14:val="tx1"/>
                  </w14:solidFill>
                </w14:textFill>
              </w:rPr>
              <w:t>万元</w:t>
            </w:r>
            <w:r>
              <w:rPr>
                <w:rFonts w:ascii="Times New Roman" w:hAnsi="Times New Roman" w:cs="Times New Roman"/>
                <w:b/>
                <w:color w:val="000000" w:themeColor="text1"/>
                <w:kern w:val="0"/>
                <w:szCs w:val="21"/>
                <w14:textFill>
                  <w14:solidFill>
                    <w14:schemeClr w14:val="tx1"/>
                  </w14:solidFill>
                </w14:textFill>
              </w:rPr>
              <w:t>）</w:t>
            </w:r>
          </w:p>
        </w:tc>
        <w:tc>
          <w:tcPr>
            <w:tcW w:w="1540"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000000" w:themeColor="text1"/>
                <w:kern w:val="0"/>
                <w:szCs w:val="21"/>
                <w14:textFill>
                  <w14:solidFill>
                    <w14:schemeClr w14:val="tx1"/>
                  </w14:solidFill>
                </w14:textFill>
              </w:rPr>
            </w:pPr>
            <w:r>
              <w:rPr>
                <w:rFonts w:hint="eastAsia" w:ascii="Times New Roman" w:hAnsi="Times New Roman" w:cs="Times New Roman"/>
                <w:b/>
                <w:color w:val="000000" w:themeColor="text1"/>
                <w:kern w:val="0"/>
                <w:szCs w:val="21"/>
                <w14:textFill>
                  <w14:solidFill>
                    <w14:schemeClr w14:val="tx1"/>
                  </w14:solidFill>
                </w14:textFill>
              </w:rPr>
              <w:t>负债合计</w:t>
            </w:r>
          </w:p>
          <w:p>
            <w:pPr>
              <w:widowControl/>
              <w:spacing w:line="240" w:lineRule="atLeast"/>
              <w:ind w:left="57" w:right="57"/>
              <w:jc w:val="center"/>
              <w:rPr>
                <w:rFonts w:ascii="Times New Roman" w:hAnsi="Times New Roman" w:cs="Times New Roman"/>
                <w:b/>
                <w:color w:val="000000" w:themeColor="text1"/>
                <w:kern w:val="0"/>
                <w:szCs w:val="21"/>
                <w14:textFill>
                  <w14:solidFill>
                    <w14:schemeClr w14:val="tx1"/>
                  </w14:solidFill>
                </w14:textFill>
              </w:rPr>
            </w:pPr>
            <w:r>
              <w:rPr>
                <w:rFonts w:ascii="Times New Roman" w:hAnsi="Times New Roman" w:cs="Times New Roman"/>
                <w:b/>
                <w:color w:val="000000" w:themeColor="text1"/>
                <w:kern w:val="0"/>
                <w:szCs w:val="21"/>
                <w14:textFill>
                  <w14:solidFill>
                    <w14:schemeClr w14:val="tx1"/>
                  </w14:solidFill>
                </w14:textFill>
              </w:rPr>
              <w:t>（</w:t>
            </w:r>
            <w:r>
              <w:rPr>
                <w:rFonts w:hint="eastAsia" w:ascii="Times New Roman" w:hAnsi="Times New Roman" w:cs="Times New Roman"/>
                <w:b/>
                <w:color w:val="000000" w:themeColor="text1"/>
                <w:kern w:val="0"/>
                <w:szCs w:val="21"/>
                <w14:textFill>
                  <w14:solidFill>
                    <w14:schemeClr w14:val="tx1"/>
                  </w14:solidFill>
                </w14:textFill>
              </w:rPr>
              <w:t>万元</w:t>
            </w:r>
            <w:r>
              <w:rPr>
                <w:rFonts w:ascii="Times New Roman" w:hAnsi="Times New Roman" w:cs="Times New Roman"/>
                <w:b/>
                <w:color w:val="000000" w:themeColor="text1"/>
                <w:kern w:val="0"/>
                <w:szCs w:val="21"/>
                <w14:textFill>
                  <w14:solidFill>
                    <w14:schemeClr w14:val="tx1"/>
                  </w14:solidFill>
                </w14:textFill>
              </w:rPr>
              <w:t>）</w:t>
            </w:r>
          </w:p>
        </w:tc>
        <w:tc>
          <w:tcPr>
            <w:tcW w:w="1541" w:type="dxa"/>
            <w:tcBorders>
              <w:top w:val="nil"/>
              <w:left w:val="single" w:color="auto" w:sz="4" w:space="0"/>
              <w:bottom w:val="single" w:color="auto" w:sz="4" w:space="0"/>
              <w:right w:val="nil"/>
            </w:tcBorders>
            <w:vAlign w:val="center"/>
          </w:tcPr>
          <w:p>
            <w:pPr>
              <w:widowControl/>
              <w:spacing w:line="240" w:lineRule="atLeast"/>
              <w:ind w:left="57" w:right="57"/>
              <w:jc w:val="center"/>
              <w:rPr>
                <w:rFonts w:ascii="Times New Roman" w:hAnsi="Times New Roman" w:cs="Times New Roman"/>
                <w:b/>
                <w:color w:val="000000" w:themeColor="text1"/>
                <w:kern w:val="0"/>
                <w:szCs w:val="21"/>
                <w14:textFill>
                  <w14:solidFill>
                    <w14:schemeClr w14:val="tx1"/>
                  </w14:solidFill>
                </w14:textFill>
              </w:rPr>
            </w:pPr>
            <w:r>
              <w:rPr>
                <w:rFonts w:hint="eastAsia" w:ascii="Times New Roman" w:hAnsi="Times New Roman" w:cs="Times New Roman"/>
                <w:b/>
                <w:color w:val="000000" w:themeColor="text1"/>
                <w:kern w:val="0"/>
                <w:szCs w:val="21"/>
                <w14:textFill>
                  <w14:solidFill>
                    <w14:schemeClr w14:val="tx1"/>
                  </w14:solidFill>
                </w14:textFill>
              </w:rPr>
              <w:t>营业收入</w:t>
            </w:r>
          </w:p>
          <w:p>
            <w:pPr>
              <w:widowControl/>
              <w:spacing w:line="240" w:lineRule="atLeast"/>
              <w:ind w:left="57" w:right="57"/>
              <w:jc w:val="center"/>
              <w:rPr>
                <w:rFonts w:ascii="Times New Roman" w:hAnsi="Times New Roman" w:cs="Times New Roman"/>
                <w:b/>
                <w:color w:val="000000" w:themeColor="text1"/>
                <w:kern w:val="0"/>
                <w:sz w:val="18"/>
                <w:szCs w:val="18"/>
                <w14:textFill>
                  <w14:solidFill>
                    <w14:schemeClr w14:val="tx1"/>
                  </w14:solidFill>
                </w14:textFill>
              </w:rPr>
            </w:pPr>
            <w:r>
              <w:rPr>
                <w:rFonts w:hint="eastAsia" w:ascii="Times New Roman" w:hAnsi="Times New Roman" w:cs="Times New Roman"/>
                <w:b/>
                <w:color w:val="000000" w:themeColor="text1"/>
                <w:kern w:val="0"/>
                <w:szCs w:val="21"/>
                <w14:textFill>
                  <w14:solidFill>
                    <w14:schemeClr w14:val="tx1"/>
                  </w14:solidFill>
                </w14:textFill>
              </w:rPr>
              <w:t>（万元）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110" w:type="dxa"/>
            <w:tcBorders>
              <w:top w:val="single" w:color="auto" w:sz="4" w:space="0"/>
              <w:left w:val="nil"/>
              <w:bottom w:val="nil"/>
              <w:right w:val="single" w:color="auto" w:sz="4" w:space="0"/>
            </w:tcBorders>
            <w:vAlign w:val="center"/>
          </w:tcPr>
          <w:p>
            <w:pPr>
              <w:widowControl/>
              <w:spacing w:line="240" w:lineRule="atLeast"/>
              <w:ind w:left="57" w:right="57" w:firstLine="1687" w:firstLineChars="800"/>
              <w:jc w:val="both"/>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b/>
                <w:bCs/>
                <w:color w:val="000000" w:themeColor="text1"/>
                <w:kern w:val="0"/>
                <w:szCs w:val="21"/>
                <w14:textFill>
                  <w14:solidFill>
                    <w14:schemeClr w14:val="tx1"/>
                  </w14:solidFill>
                </w14:textFill>
              </w:rPr>
              <w:t>合　计</w:t>
            </w:r>
          </w:p>
        </w:tc>
        <w:tc>
          <w:tcPr>
            <w:tcW w:w="1540" w:type="dxa"/>
            <w:tcBorders>
              <w:top w:val="single" w:color="auto" w:sz="4" w:space="0"/>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eastAsiaTheme="minorEastAsia"/>
                <w:b/>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color w:val="000000" w:themeColor="text1"/>
                <w:kern w:val="0"/>
                <w:sz w:val="18"/>
                <w:szCs w:val="18"/>
                <w:lang w:val="en-US" w:eastAsia="zh-CN"/>
                <w14:textFill>
                  <w14:solidFill>
                    <w14:schemeClr w14:val="tx1"/>
                  </w14:solidFill>
                </w14:textFill>
              </w:rPr>
              <w:t>1090.0</w:t>
            </w:r>
          </w:p>
        </w:tc>
        <w:tc>
          <w:tcPr>
            <w:tcW w:w="1540" w:type="dxa"/>
            <w:tcBorders>
              <w:top w:val="single" w:color="auto" w:sz="4" w:space="0"/>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eastAsiaTheme="minorEastAsia"/>
                <w:b/>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color w:val="000000" w:themeColor="text1"/>
                <w:kern w:val="0"/>
                <w:sz w:val="18"/>
                <w:szCs w:val="18"/>
                <w:lang w:val="en-US" w:eastAsia="zh-CN"/>
                <w14:textFill>
                  <w14:solidFill>
                    <w14:schemeClr w14:val="tx1"/>
                  </w14:solidFill>
                </w14:textFill>
              </w:rPr>
              <w:t>489.2</w:t>
            </w:r>
          </w:p>
        </w:tc>
        <w:tc>
          <w:tcPr>
            <w:tcW w:w="1541" w:type="dxa"/>
            <w:tcBorders>
              <w:top w:val="single" w:color="auto" w:sz="4" w:space="0"/>
              <w:left w:val="single" w:color="auto" w:sz="4" w:space="0"/>
              <w:bottom w:val="nil"/>
              <w:right w:val="nil"/>
            </w:tcBorders>
            <w:vAlign w:val="center"/>
          </w:tcPr>
          <w:p>
            <w:pPr>
              <w:widowControl/>
              <w:spacing w:line="240" w:lineRule="atLeast"/>
              <w:ind w:left="57" w:right="57"/>
              <w:jc w:val="right"/>
              <w:rPr>
                <w:rFonts w:hint="default" w:ascii="Times New Roman" w:hAnsi="Times New Roman" w:cs="Times New Roman" w:eastAsiaTheme="minorEastAsia"/>
                <w:b/>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color w:val="000000" w:themeColor="text1"/>
                <w:kern w:val="0"/>
                <w:sz w:val="18"/>
                <w:szCs w:val="18"/>
                <w:lang w:val="en-US" w:eastAsia="zh-CN"/>
                <w14:textFill>
                  <w14:solidFill>
                    <w14:schemeClr w14:val="tx1"/>
                  </w14:solidFill>
                </w14:textFill>
              </w:rPr>
              <w:t>765.1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110" w:type="dxa"/>
            <w:tcBorders>
              <w:top w:val="nil"/>
              <w:left w:val="nil"/>
              <w:bottom w:val="nil"/>
              <w:right w:val="single" w:color="auto" w:sz="4" w:space="0"/>
            </w:tcBorders>
            <w:vAlign w:val="center"/>
          </w:tcPr>
          <w:p>
            <w:pPr>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　研究和试验</w:t>
            </w:r>
            <w:r>
              <w:rPr>
                <w:rFonts w:ascii="Times New Roman" w:hAnsi="Times New Roman" w:cs="Times New Roman"/>
                <w:color w:val="000000" w:themeColor="text1"/>
                <w:kern w:val="0"/>
                <w:szCs w:val="21"/>
                <w14:textFill>
                  <w14:solidFill>
                    <w14:schemeClr w14:val="tx1"/>
                  </w14:solidFill>
                </w14:textFill>
              </w:rPr>
              <w:t>发展</w:t>
            </w:r>
          </w:p>
        </w:tc>
        <w:tc>
          <w:tcPr>
            <w:tcW w:w="1540" w:type="dxa"/>
            <w:tcBorders>
              <w:top w:val="nil"/>
              <w:left w:val="single" w:color="auto" w:sz="4" w:space="0"/>
              <w:bottom w:val="nil"/>
              <w:right w:val="single" w:color="auto" w:sz="4" w:space="0"/>
            </w:tcBorders>
            <w:vAlign w:val="center"/>
          </w:tcPr>
          <w:p>
            <w:pPr>
              <w:widowControl/>
              <w:spacing w:line="240" w:lineRule="atLeast"/>
              <w:ind w:left="57" w:right="57"/>
              <w:jc w:val="right"/>
              <w:rPr>
                <w:rFonts w:ascii="Times New Roman" w:hAnsi="Times New Roman" w:cs="Times New Roman"/>
                <w:b w:val="0"/>
                <w:bCs w:val="0"/>
                <w:color w:val="000000" w:themeColor="text1"/>
                <w:kern w:val="0"/>
                <w:sz w:val="18"/>
                <w:szCs w:val="18"/>
                <w14:textFill>
                  <w14:solidFill>
                    <w14:schemeClr w14:val="tx1"/>
                  </w14:solidFill>
                </w14:textFill>
              </w:rPr>
            </w:pPr>
            <w:r>
              <w:rPr>
                <w:rFonts w:hint="eastAsia" w:ascii="Times New Roman" w:hAnsi="Times New Roman" w:cs="Times New Roman"/>
                <w:b w:val="0"/>
                <w:bCs w:val="0"/>
                <w:color w:val="000000" w:themeColor="text1"/>
                <w:kern w:val="0"/>
                <w:sz w:val="18"/>
                <w:szCs w:val="18"/>
                <w14:textFill>
                  <w14:solidFill>
                    <w14:schemeClr w14:val="tx1"/>
                  </w14:solidFill>
                </w14:textFill>
              </w:rPr>
              <w:t>0</w:t>
            </w:r>
          </w:p>
        </w:tc>
        <w:tc>
          <w:tcPr>
            <w:tcW w:w="1540" w:type="dxa"/>
            <w:tcBorders>
              <w:top w:val="nil"/>
              <w:left w:val="single" w:color="auto" w:sz="4" w:space="0"/>
              <w:bottom w:val="nil"/>
              <w:right w:val="single" w:color="auto" w:sz="4" w:space="0"/>
            </w:tcBorders>
            <w:vAlign w:val="center"/>
          </w:tcPr>
          <w:p>
            <w:pPr>
              <w:widowControl/>
              <w:spacing w:line="240" w:lineRule="atLeast"/>
              <w:ind w:left="57" w:right="57"/>
              <w:jc w:val="right"/>
              <w:rPr>
                <w:rFonts w:ascii="Times New Roman" w:hAnsi="Times New Roman" w:cs="Times New Roman"/>
                <w:b w:val="0"/>
                <w:bCs w:val="0"/>
                <w:color w:val="000000" w:themeColor="text1"/>
                <w:kern w:val="0"/>
                <w:sz w:val="18"/>
                <w:szCs w:val="18"/>
                <w14:textFill>
                  <w14:solidFill>
                    <w14:schemeClr w14:val="tx1"/>
                  </w14:solidFill>
                </w14:textFill>
              </w:rPr>
            </w:pPr>
            <w:r>
              <w:rPr>
                <w:rFonts w:hint="eastAsia" w:ascii="Times New Roman" w:hAnsi="Times New Roman" w:cs="Times New Roman"/>
                <w:b w:val="0"/>
                <w:bCs w:val="0"/>
                <w:color w:val="000000" w:themeColor="text1"/>
                <w:kern w:val="0"/>
                <w:sz w:val="18"/>
                <w:szCs w:val="18"/>
                <w14:textFill>
                  <w14:solidFill>
                    <w14:schemeClr w14:val="tx1"/>
                  </w14:solidFill>
                </w14:textFill>
              </w:rPr>
              <w:t>0</w:t>
            </w:r>
          </w:p>
        </w:tc>
        <w:tc>
          <w:tcPr>
            <w:tcW w:w="1541" w:type="dxa"/>
            <w:tcBorders>
              <w:top w:val="nil"/>
              <w:left w:val="single" w:color="auto" w:sz="4" w:space="0"/>
              <w:bottom w:val="nil"/>
              <w:right w:val="nil"/>
            </w:tcBorders>
            <w:vAlign w:val="center"/>
          </w:tcPr>
          <w:p>
            <w:pPr>
              <w:widowControl/>
              <w:spacing w:line="240" w:lineRule="atLeast"/>
              <w:ind w:left="57" w:right="57"/>
              <w:jc w:val="right"/>
              <w:rPr>
                <w:rFonts w:ascii="Times New Roman" w:hAnsi="Times New Roman" w:cs="Times New Roman"/>
                <w:b w:val="0"/>
                <w:bCs w:val="0"/>
                <w:color w:val="000000" w:themeColor="text1"/>
                <w:kern w:val="0"/>
                <w:sz w:val="18"/>
                <w:szCs w:val="18"/>
                <w14:textFill>
                  <w14:solidFill>
                    <w14:schemeClr w14:val="tx1"/>
                  </w14:solidFill>
                </w14:textFill>
              </w:rPr>
            </w:pPr>
            <w:r>
              <w:rPr>
                <w:rFonts w:hint="eastAsia" w:ascii="Times New Roman" w:hAnsi="Times New Roman" w:cs="Times New Roman"/>
                <w:b w:val="0"/>
                <w:bCs w:val="0"/>
                <w:color w:val="000000" w:themeColor="text1"/>
                <w:kern w:val="0"/>
                <w:sz w:val="18"/>
                <w:szCs w:val="18"/>
                <w14:textFill>
                  <w14:solidFill>
                    <w14:schemeClr w14:val="tx1"/>
                  </w14:solidFill>
                </w14:textFill>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110" w:type="dxa"/>
            <w:tcBorders>
              <w:top w:val="nil"/>
              <w:left w:val="nil"/>
              <w:bottom w:val="nil"/>
              <w:right w:val="single" w:color="auto" w:sz="4" w:space="0"/>
            </w:tcBorders>
            <w:vAlign w:val="center"/>
          </w:tcPr>
          <w:p>
            <w:pPr>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　专业技术服务业</w:t>
            </w:r>
          </w:p>
        </w:tc>
        <w:tc>
          <w:tcPr>
            <w:tcW w:w="1540"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eastAsiaTheme="minorEastAsia"/>
                <w:b w:val="0"/>
                <w:bCs w:val="0"/>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18"/>
                <w:szCs w:val="18"/>
                <w:lang w:val="en-US" w:eastAsia="zh-CN"/>
                <w14:textFill>
                  <w14:solidFill>
                    <w14:schemeClr w14:val="tx1"/>
                  </w14:solidFill>
                </w14:textFill>
              </w:rPr>
              <w:t>1074.3</w:t>
            </w:r>
          </w:p>
        </w:tc>
        <w:tc>
          <w:tcPr>
            <w:tcW w:w="1540"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eastAsiaTheme="minorEastAsia"/>
                <w:b w:val="0"/>
                <w:bCs w:val="0"/>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18"/>
                <w:szCs w:val="18"/>
                <w:lang w:val="en-US" w:eastAsia="zh-CN"/>
                <w14:textFill>
                  <w14:solidFill>
                    <w14:schemeClr w14:val="tx1"/>
                  </w14:solidFill>
                </w14:textFill>
              </w:rPr>
              <w:t>489.2</w:t>
            </w:r>
          </w:p>
        </w:tc>
        <w:tc>
          <w:tcPr>
            <w:tcW w:w="1541" w:type="dxa"/>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cs="Times New Roman" w:eastAsiaTheme="minorEastAsia"/>
                <w:b w:val="0"/>
                <w:bCs w:val="0"/>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18"/>
                <w:szCs w:val="18"/>
                <w:lang w:val="en-US" w:eastAsia="zh-CN"/>
                <w14:textFill>
                  <w14:solidFill>
                    <w14:schemeClr w14:val="tx1"/>
                  </w14:solidFill>
                </w14:textFill>
              </w:rPr>
              <w:t>742.8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110" w:type="dxa"/>
            <w:tcBorders>
              <w:top w:val="nil"/>
              <w:left w:val="nil"/>
              <w:bottom w:val="single" w:color="auto" w:sz="12" w:space="0"/>
              <w:right w:val="single" w:color="auto" w:sz="4" w:space="0"/>
            </w:tcBorders>
            <w:vAlign w:val="center"/>
          </w:tcPr>
          <w:p>
            <w:pPr>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　科技推广和应用服务业</w:t>
            </w:r>
          </w:p>
        </w:tc>
        <w:tc>
          <w:tcPr>
            <w:tcW w:w="1540" w:type="dxa"/>
            <w:tcBorders>
              <w:top w:val="nil"/>
              <w:left w:val="single" w:color="auto" w:sz="4" w:space="0"/>
              <w:bottom w:val="single" w:color="auto" w:sz="12" w:space="0"/>
              <w:right w:val="single" w:color="auto" w:sz="4" w:space="0"/>
            </w:tcBorders>
            <w:vAlign w:val="center"/>
          </w:tcPr>
          <w:p>
            <w:pPr>
              <w:widowControl/>
              <w:spacing w:line="240" w:lineRule="atLeast"/>
              <w:ind w:left="57" w:right="57"/>
              <w:jc w:val="right"/>
              <w:rPr>
                <w:rFonts w:hint="default" w:ascii="Times New Roman" w:hAnsi="Times New Roman" w:cs="Times New Roman" w:eastAsiaTheme="minorEastAsia"/>
                <w:b w:val="0"/>
                <w:bCs w:val="0"/>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18"/>
                <w:szCs w:val="18"/>
                <w:lang w:val="en-US" w:eastAsia="zh-CN"/>
                <w14:textFill>
                  <w14:solidFill>
                    <w14:schemeClr w14:val="tx1"/>
                  </w14:solidFill>
                </w14:textFill>
              </w:rPr>
              <w:t>15.7</w:t>
            </w:r>
          </w:p>
        </w:tc>
        <w:tc>
          <w:tcPr>
            <w:tcW w:w="1540" w:type="dxa"/>
            <w:tcBorders>
              <w:top w:val="nil"/>
              <w:left w:val="single" w:color="auto" w:sz="4" w:space="0"/>
              <w:bottom w:val="single" w:color="auto" w:sz="12" w:space="0"/>
              <w:right w:val="single" w:color="auto" w:sz="4" w:space="0"/>
            </w:tcBorders>
            <w:vAlign w:val="center"/>
          </w:tcPr>
          <w:p>
            <w:pPr>
              <w:widowControl/>
              <w:spacing w:line="240" w:lineRule="atLeast"/>
              <w:ind w:left="57" w:right="57"/>
              <w:jc w:val="right"/>
              <w:rPr>
                <w:rFonts w:hint="eastAsia" w:ascii="Times New Roman" w:hAnsi="Times New Roman" w:cs="Times New Roman" w:eastAsiaTheme="minorEastAsia"/>
                <w:b w:val="0"/>
                <w:bCs w:val="0"/>
                <w:color w:val="000000" w:themeColor="text1"/>
                <w:kern w:val="0"/>
                <w:sz w:val="18"/>
                <w:szCs w:val="18"/>
                <w:lang w:eastAsia="zh-CN"/>
                <w14:textFill>
                  <w14:solidFill>
                    <w14:schemeClr w14:val="tx1"/>
                  </w14:solidFill>
                </w14:textFill>
              </w:rPr>
            </w:pPr>
            <w:r>
              <w:rPr>
                <w:rFonts w:hint="eastAsia" w:ascii="Times New Roman" w:hAnsi="Times New Roman" w:cs="Times New Roman"/>
                <w:b w:val="0"/>
                <w:bCs w:val="0"/>
                <w:color w:val="000000" w:themeColor="text1"/>
                <w:kern w:val="0"/>
                <w:sz w:val="18"/>
                <w:szCs w:val="18"/>
                <w:lang w:val="en-US" w:eastAsia="zh-CN"/>
                <w14:textFill>
                  <w14:solidFill>
                    <w14:schemeClr w14:val="tx1"/>
                  </w14:solidFill>
                </w14:textFill>
              </w:rPr>
              <w:t>0</w:t>
            </w:r>
          </w:p>
        </w:tc>
        <w:tc>
          <w:tcPr>
            <w:tcW w:w="1541" w:type="dxa"/>
            <w:tcBorders>
              <w:top w:val="nil"/>
              <w:left w:val="single" w:color="auto" w:sz="4" w:space="0"/>
              <w:bottom w:val="single" w:color="auto" w:sz="12" w:space="0"/>
              <w:right w:val="nil"/>
            </w:tcBorders>
            <w:vAlign w:val="center"/>
          </w:tcPr>
          <w:p>
            <w:pPr>
              <w:widowControl/>
              <w:spacing w:line="240" w:lineRule="atLeast"/>
              <w:ind w:left="57" w:right="57"/>
              <w:jc w:val="right"/>
              <w:rPr>
                <w:rFonts w:hint="default" w:ascii="Times New Roman" w:hAnsi="Times New Roman" w:cs="Times New Roman" w:eastAsiaTheme="minorEastAsia"/>
                <w:b w:val="0"/>
                <w:bCs w:val="0"/>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18"/>
                <w:szCs w:val="18"/>
                <w:lang w:val="en-US" w:eastAsia="zh-CN"/>
                <w14:textFill>
                  <w14:solidFill>
                    <w14:schemeClr w14:val="tx1"/>
                  </w14:solidFill>
                </w14:textFill>
              </w:rPr>
              <w:t>22.3</w:t>
            </w:r>
          </w:p>
        </w:tc>
      </w:tr>
    </w:tbl>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方正黑体_GBK" w:hAnsi="方正黑体_GBK" w:eastAsia="方正黑体_GBK" w:cs="方正黑体_GBK"/>
          <w:b/>
          <w:bCs/>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bCs/>
          <w:color w:val="000000" w:themeColor="text1"/>
          <w:kern w:val="0"/>
          <w:sz w:val="32"/>
          <w:szCs w:val="32"/>
          <w14:textFill>
            <w14:solidFill>
              <w14:schemeClr w14:val="tx1"/>
            </w14:solidFill>
          </w14:textFill>
        </w:rPr>
        <w:t>二、水利、环境和公共设施管理业</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（一）法人单位数和从业人员。</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2023</w:t>
      </w:r>
      <w:r>
        <w:rPr>
          <w:rFonts w:hint="eastAsia" w:ascii="Times New Roman" w:hAnsi="Times New Roman" w:eastAsia="方正仿宋_GBK" w:cs="Times New Roman"/>
          <w:color w:val="000000" w:themeColor="text1"/>
          <w:kern w:val="0"/>
          <w:sz w:val="32"/>
          <w:szCs w:val="32"/>
          <w14:textFill>
            <w14:solidFill>
              <w14:schemeClr w14:val="tx1"/>
            </w14:solidFill>
          </w14:textFill>
        </w:rPr>
        <w:t>年末，全县共有水利、环境和公共设施管理业法人单位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12</w:t>
      </w:r>
      <w:r>
        <w:rPr>
          <w:rFonts w:hint="eastAsia" w:ascii="Times New Roman" w:hAnsi="Times New Roman" w:eastAsia="方正仿宋_GBK" w:cs="Times New Roman"/>
          <w:color w:val="000000" w:themeColor="text1"/>
          <w:kern w:val="0"/>
          <w:sz w:val="32"/>
          <w:szCs w:val="32"/>
          <w14:textFill>
            <w14:solidFill>
              <w14:schemeClr w14:val="tx1"/>
            </w14:solidFill>
          </w14:textFill>
        </w:rPr>
        <w:t>个，从业人员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192</w:t>
      </w:r>
      <w:r>
        <w:rPr>
          <w:rFonts w:hint="eastAsia" w:ascii="Times New Roman" w:hAnsi="Times New Roman" w:eastAsia="方正仿宋_GBK" w:cs="Times New Roman"/>
          <w:color w:val="000000" w:themeColor="text1"/>
          <w:kern w:val="0"/>
          <w:sz w:val="32"/>
          <w:szCs w:val="32"/>
          <w14:textFill>
            <w14:solidFill>
              <w14:schemeClr w14:val="tx1"/>
            </w14:solidFill>
          </w14:textFill>
        </w:rPr>
        <w:t>人，分别比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w:t>
      </w:r>
      <w:r>
        <w:rPr>
          <w:rFonts w:hint="eastAsia" w:ascii="Times New Roman" w:hAnsi="Times New Roman" w:eastAsia="方正仿宋_GBK" w:cs="Times New Roman"/>
          <w:color w:val="000000" w:themeColor="text1"/>
          <w:kern w:val="0"/>
          <w:sz w:val="32"/>
          <w:szCs w:val="32"/>
          <w14:textFill>
            <w14:solidFill>
              <w14:schemeClr w14:val="tx1"/>
            </w14:solidFill>
          </w14:textFill>
        </w:rPr>
        <w:t>年末增长</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50.0%</w:t>
      </w:r>
      <w:r>
        <w:rPr>
          <w:rFonts w:hint="eastAsia" w:ascii="Times New Roman" w:hAnsi="Times New Roman" w:eastAsia="方正仿宋_GBK" w:cs="Times New Roman"/>
          <w:color w:val="000000" w:themeColor="text1"/>
          <w:kern w:val="0"/>
          <w:sz w:val="32"/>
          <w:szCs w:val="32"/>
          <w14:textFill>
            <w14:solidFill>
              <w14:schemeClr w14:val="tx1"/>
            </w14:solidFill>
          </w14:textFill>
        </w:rPr>
        <w:t>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3.8倍</w:t>
      </w:r>
      <w:r>
        <w:rPr>
          <w:rFonts w:hint="eastAsia" w:ascii="Times New Roman" w:hAnsi="Times New Roman" w:eastAsia="方正仿宋_GBK" w:cs="Times New Roman"/>
          <w:color w:val="000000" w:themeColor="text1"/>
          <w:kern w:val="0"/>
          <w:sz w:val="32"/>
          <w:szCs w:val="32"/>
          <w14:textFill>
            <w14:solidFill>
              <w14:schemeClr w14:val="tx1"/>
            </w14:solidFill>
          </w14:textFill>
        </w:rPr>
        <w:t>。其中，行政事业及非企业法人单位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eastAsia" w:ascii="Times New Roman" w:hAnsi="Times New Roman" w:eastAsia="方正仿宋_GBK" w:cs="Times New Roman"/>
          <w:color w:val="000000" w:themeColor="text1"/>
          <w:kern w:val="0"/>
          <w:sz w:val="32"/>
          <w:szCs w:val="32"/>
          <w14:textFill>
            <w14:solidFill>
              <w14:schemeClr w14:val="tx1"/>
            </w14:solidFill>
          </w14:textFill>
        </w:rPr>
        <w:t>个，</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2018年末增长2.5倍；从业人员17</w:t>
      </w:r>
      <w:bookmarkStart w:id="1" w:name="_GoBack"/>
      <w:bookmarkEnd w:id="1"/>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2人。</w:t>
      </w:r>
    </w:p>
    <w:p>
      <w:pPr>
        <w:keepNext w:val="0"/>
        <w:keepLines w:val="0"/>
        <w:pageBreakBefore w:val="0"/>
        <w:widowControl/>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主要经济</w:t>
      </w:r>
      <w:r>
        <w:rPr>
          <w:rFonts w:ascii="Times New Roman" w:hAnsi="Times New Roman" w:eastAsia="方正仿宋_GBK" w:cs="Times New Roman"/>
          <w:color w:val="000000" w:themeColor="text1"/>
          <w:kern w:val="0"/>
          <w:sz w:val="32"/>
          <w:szCs w:val="32"/>
          <w14:textFill>
            <w14:solidFill>
              <w14:schemeClr w14:val="tx1"/>
            </w14:solidFill>
          </w14:textFill>
        </w:rPr>
        <w:t>指标</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2023</w:t>
      </w:r>
      <w:r>
        <w:rPr>
          <w:rFonts w:hint="eastAsia" w:ascii="Times New Roman" w:hAnsi="Times New Roman" w:eastAsia="方正仿宋_GBK" w:cs="Times New Roman"/>
          <w:color w:val="000000" w:themeColor="text1"/>
          <w:kern w:val="0"/>
          <w:sz w:val="32"/>
          <w:szCs w:val="32"/>
          <w14:textFill>
            <w14:solidFill>
              <w14:schemeClr w14:val="tx1"/>
            </w14:solidFill>
          </w14:textFill>
        </w:rPr>
        <w:t>年末，水利、环境和公共设施管理业企业法人单位资产总计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3160.3</w:t>
      </w:r>
      <w:r>
        <w:rPr>
          <w:rFonts w:hint="eastAsia" w:ascii="Times New Roman" w:hAnsi="Times New Roman" w:eastAsia="方正仿宋_GBK" w:cs="Times New Roman"/>
          <w:color w:val="000000" w:themeColor="text1"/>
          <w:sz w:val="32"/>
          <w:szCs w:val="32"/>
          <w14:textFill>
            <w14:solidFill>
              <w14:schemeClr w14:val="tx1"/>
            </w14:solidFill>
          </w14:textFill>
        </w:rPr>
        <w:t>万</w:t>
      </w:r>
      <w:r>
        <w:rPr>
          <w:rFonts w:hint="eastAsia" w:ascii="Times New Roman" w:hAnsi="Times New Roman" w:eastAsia="方正仿宋_GBK" w:cs="Times New Roman"/>
          <w:color w:val="000000" w:themeColor="text1"/>
          <w:kern w:val="0"/>
          <w:sz w:val="32"/>
          <w:szCs w:val="32"/>
          <w14:textFill>
            <w14:solidFill>
              <w14:schemeClr w14:val="tx1"/>
            </w14:solidFill>
          </w14:textFill>
        </w:rPr>
        <w:t>元</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2018年末下降27.8%；</w:t>
      </w:r>
      <w:r>
        <w:rPr>
          <w:rFonts w:hint="eastAsia" w:ascii="Times New Roman" w:hAnsi="Times New Roman" w:eastAsia="方正仿宋_GBK" w:cs="Times New Roman"/>
          <w:color w:val="000000" w:themeColor="text1"/>
          <w:kern w:val="0"/>
          <w:sz w:val="32"/>
          <w:szCs w:val="32"/>
          <w14:textFill>
            <w14:solidFill>
              <w14:schemeClr w14:val="tx1"/>
            </w14:solidFill>
          </w14:textFill>
        </w:rPr>
        <w:t>负债</w:t>
      </w:r>
      <w:r>
        <w:rPr>
          <w:rFonts w:ascii="Times New Roman" w:hAnsi="Times New Roman" w:eastAsia="方正仿宋_GBK" w:cs="Times New Roman"/>
          <w:color w:val="000000" w:themeColor="text1"/>
          <w:kern w:val="0"/>
          <w:sz w:val="32"/>
          <w:szCs w:val="32"/>
          <w14:textFill>
            <w14:solidFill>
              <w14:schemeClr w14:val="tx1"/>
            </w14:solidFill>
          </w14:textFill>
        </w:rPr>
        <w:t>合计</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210.5</w:t>
      </w:r>
      <w:r>
        <w:rPr>
          <w:rFonts w:hint="eastAsia" w:ascii="Times New Roman" w:hAnsi="Times New Roman" w:eastAsia="方正仿宋_GBK" w:cs="Times New Roman"/>
          <w:color w:val="000000" w:themeColor="text1"/>
          <w:kern w:val="0"/>
          <w:sz w:val="32"/>
          <w:szCs w:val="32"/>
          <w14:textFill>
            <w14:solidFill>
              <w14:schemeClr w14:val="tx1"/>
            </w14:solidFill>
          </w14:textFill>
        </w:rPr>
        <w:t>万</w:t>
      </w:r>
      <w:r>
        <w:rPr>
          <w:rFonts w:ascii="Times New Roman" w:hAnsi="Times New Roman" w:eastAsia="方正仿宋_GBK" w:cs="Times New Roman"/>
          <w:color w:val="000000" w:themeColor="text1"/>
          <w:kern w:val="0"/>
          <w:sz w:val="32"/>
          <w:szCs w:val="32"/>
          <w14:textFill>
            <w14:solidFill>
              <w14:schemeClr w14:val="tx1"/>
            </w14:solidFill>
          </w14:textFill>
        </w:rPr>
        <w:t>元</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2018年末下降86.0%</w:t>
      </w:r>
      <w:r>
        <w:rPr>
          <w:rFonts w:hint="eastAsia" w:ascii="Times New Roman" w:hAnsi="Times New Roman" w:eastAsia="方正仿宋_GBK" w:cs="Times New Roman"/>
          <w:color w:val="000000" w:themeColor="text1"/>
          <w:kern w:val="0"/>
          <w:sz w:val="32"/>
          <w:szCs w:val="32"/>
          <w14:textFill>
            <w14:solidFill>
              <w14:schemeClr w14:val="tx1"/>
            </w14:solidFill>
          </w14:textFill>
        </w:rPr>
        <w:t>。全年</w:t>
      </w:r>
      <w:r>
        <w:rPr>
          <w:rFonts w:ascii="Times New Roman" w:hAnsi="Times New Roman" w:eastAsia="方正仿宋_GBK" w:cs="Times New Roman"/>
          <w:color w:val="000000" w:themeColor="text1"/>
          <w:kern w:val="0"/>
          <w:sz w:val="32"/>
          <w:szCs w:val="32"/>
          <w14:textFill>
            <w14:solidFill>
              <w14:schemeClr w14:val="tx1"/>
            </w14:solidFill>
          </w14:textFill>
        </w:rPr>
        <w:t>实现</w:t>
      </w:r>
      <w:r>
        <w:rPr>
          <w:rFonts w:hint="eastAsia" w:ascii="Times New Roman" w:hAnsi="Times New Roman" w:eastAsia="方正仿宋_GBK" w:cs="Times New Roman"/>
          <w:color w:val="000000" w:themeColor="text1"/>
          <w:kern w:val="0"/>
          <w:sz w:val="32"/>
          <w:szCs w:val="32"/>
          <w14:textFill>
            <w14:solidFill>
              <w14:schemeClr w14:val="tx1"/>
            </w14:solidFill>
          </w14:textFill>
        </w:rPr>
        <w:t>营业</w:t>
      </w:r>
      <w:r>
        <w:rPr>
          <w:rFonts w:ascii="Times New Roman" w:hAnsi="Times New Roman" w:eastAsia="方正仿宋_GBK" w:cs="Times New Roman"/>
          <w:color w:val="000000" w:themeColor="text1"/>
          <w:kern w:val="0"/>
          <w:sz w:val="32"/>
          <w:szCs w:val="32"/>
          <w14:textFill>
            <w14:solidFill>
              <w14:schemeClr w14:val="tx1"/>
            </w14:solidFill>
          </w14:textFill>
        </w:rPr>
        <w:t>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63.9</w:t>
      </w:r>
      <w:r>
        <w:rPr>
          <w:rFonts w:hint="eastAsia" w:ascii="Times New Roman" w:hAnsi="Times New Roman" w:eastAsia="方正仿宋_GBK" w:cs="Times New Roman"/>
          <w:color w:val="000000" w:themeColor="text1"/>
          <w:sz w:val="32"/>
          <w:szCs w:val="32"/>
          <w14:textFill>
            <w14:solidFill>
              <w14:schemeClr w14:val="tx1"/>
            </w14:solidFill>
          </w14:textFill>
        </w:rPr>
        <w:t>万</w:t>
      </w:r>
      <w:r>
        <w:rPr>
          <w:rFonts w:ascii="Times New Roman" w:hAnsi="Times New Roman" w:eastAsia="方正仿宋_GBK" w:cs="Times New Roman"/>
          <w:color w:val="000000" w:themeColor="text1"/>
          <w:kern w:val="0"/>
          <w:sz w:val="32"/>
          <w:szCs w:val="32"/>
          <w14:textFill>
            <w14:solidFill>
              <w14:schemeClr w14:val="tx1"/>
            </w14:solidFill>
          </w14:textFill>
        </w:rPr>
        <w:t>元</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2018年下降51.1%</w:t>
      </w:r>
      <w:r>
        <w:rPr>
          <w:rFonts w:ascii="Times New Roman" w:hAnsi="Times New Roman" w:eastAsia="方正仿宋_GBK" w:cs="Times New Roman"/>
          <w:color w:val="000000" w:themeColor="text1"/>
          <w:kern w:val="0"/>
          <w:sz w:val="32"/>
          <w:szCs w:val="32"/>
          <w14:textFill>
            <w14:solidFill>
              <w14:schemeClr w14:val="tx1"/>
            </w14:solidFill>
          </w14:textFill>
        </w:rPr>
        <w:t>。</w:t>
      </w:r>
    </w:p>
    <w:p>
      <w:pPr>
        <w:pStyle w:val="2"/>
        <w:ind w:left="0" w:leftChars="0" w:firstLine="640" w:firstLineChars="200"/>
        <w:rPr>
          <w:rFonts w:hint="default" w:eastAsia="方正仿宋_GBK"/>
          <w:lang w:val="en-US" w:eastAsia="zh-CN"/>
        </w:rPr>
      </w:pP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行政事业及非企业法人单位年末资产</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0万元。本年支出（费用）合计0万元。</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方正黑体_GBK" w:hAnsi="方正黑体_GBK" w:eastAsia="方正黑体_GBK" w:cs="方正黑体_GBK"/>
          <w:b/>
          <w:bCs/>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bCs/>
          <w:color w:val="000000" w:themeColor="text1"/>
          <w:kern w:val="0"/>
          <w:sz w:val="32"/>
          <w:szCs w:val="32"/>
          <w14:textFill>
            <w14:solidFill>
              <w14:schemeClr w14:val="tx1"/>
            </w14:solidFill>
          </w14:textFill>
        </w:rPr>
        <w:t>三、居民服务、修理和其他服务业</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（一）企业法人单位数和从业人员。</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2023</w:t>
      </w:r>
      <w:r>
        <w:rPr>
          <w:rFonts w:hint="eastAsia" w:ascii="Times New Roman" w:hAnsi="Times New Roman" w:eastAsia="方正仿宋_GBK" w:cs="Times New Roman"/>
          <w:color w:val="000000" w:themeColor="text1"/>
          <w:kern w:val="0"/>
          <w:sz w:val="32"/>
          <w:szCs w:val="32"/>
          <w14:textFill>
            <w14:solidFill>
              <w14:schemeClr w14:val="tx1"/>
            </w14:solidFill>
          </w14:textFill>
        </w:rPr>
        <w:t>年末，全县共有居民服务、修理和其他服务业企业法人单位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29</w:t>
      </w:r>
      <w:r>
        <w:rPr>
          <w:rFonts w:hint="eastAsia" w:ascii="Times New Roman" w:hAnsi="Times New Roman" w:eastAsia="方正仿宋_GBK" w:cs="Times New Roman"/>
          <w:color w:val="000000" w:themeColor="text1"/>
          <w:kern w:val="0"/>
          <w:sz w:val="32"/>
          <w:szCs w:val="32"/>
          <w14:textFill>
            <w14:solidFill>
              <w14:schemeClr w14:val="tx1"/>
            </w14:solidFill>
          </w14:textFill>
        </w:rPr>
        <w:t>个，从业人员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152</w:t>
      </w:r>
      <w:r>
        <w:rPr>
          <w:rFonts w:hint="eastAsia" w:ascii="Times New Roman" w:hAnsi="Times New Roman" w:eastAsia="方正仿宋_GBK" w:cs="Times New Roman"/>
          <w:color w:val="000000" w:themeColor="text1"/>
          <w:kern w:val="0"/>
          <w:sz w:val="32"/>
          <w:szCs w:val="32"/>
          <w14:textFill>
            <w14:solidFill>
              <w14:schemeClr w14:val="tx1"/>
            </w14:solidFill>
          </w14:textFill>
        </w:rPr>
        <w:t>人，分别比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w:t>
      </w:r>
      <w:r>
        <w:rPr>
          <w:rFonts w:hint="eastAsia" w:ascii="Times New Roman" w:hAnsi="Times New Roman" w:eastAsia="方正仿宋_GBK" w:cs="Times New Roman"/>
          <w:color w:val="000000" w:themeColor="text1"/>
          <w:kern w:val="0"/>
          <w:sz w:val="32"/>
          <w:szCs w:val="32"/>
          <w14:textFill>
            <w14:solidFill>
              <w14:schemeClr w14:val="tx1"/>
            </w14:solidFill>
          </w14:textFill>
        </w:rPr>
        <w:t>年末增长</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61.1%</w:t>
      </w:r>
      <w:r>
        <w:rPr>
          <w:rFonts w:hint="eastAsia" w:ascii="Times New Roman" w:hAnsi="Times New Roman" w:eastAsia="方正仿宋_GBK" w:cs="Times New Roman"/>
          <w:color w:val="000000" w:themeColor="text1"/>
          <w:kern w:val="0"/>
          <w:sz w:val="32"/>
          <w:szCs w:val="32"/>
          <w14:textFill>
            <w14:solidFill>
              <w14:schemeClr w14:val="tx1"/>
            </w14:solidFill>
          </w14:textFill>
        </w:rPr>
        <w:t>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42.1%</w:t>
      </w:r>
      <w:r>
        <w:rPr>
          <w:rFonts w:hint="eastAsia" w:ascii="Times New Roman" w:hAnsi="Times New Roman" w:eastAsia="方正仿宋_GBK" w:cs="Times New Roman"/>
          <w:color w:val="000000" w:themeColor="text1"/>
          <w:kern w:val="0"/>
          <w:sz w:val="32"/>
          <w:szCs w:val="32"/>
          <w14:textFill>
            <w14:solidFill>
              <w14:schemeClr w14:val="tx1"/>
            </w14:solidFill>
          </w14:textFill>
        </w:rPr>
        <w:t>（详见表5</w:t>
      </w:r>
      <w:r>
        <w:rPr>
          <w:rFonts w:ascii="Times New Roman" w:hAnsi="Times New Roman" w:eastAsia="方正仿宋_GBK" w:cs="Times New Roman"/>
          <w:color w:val="000000" w:themeColor="text1"/>
          <w:kern w:val="0"/>
          <w:sz w:val="32"/>
          <w:szCs w:val="32"/>
          <w14:textFill>
            <w14:solidFill>
              <w14:schemeClr w14:val="tx1"/>
            </w14:solidFill>
          </w14:textFill>
        </w:rPr>
        <w:t>-4</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p>
    <w:tbl>
      <w:tblPr>
        <w:tblStyle w:val="8"/>
        <w:tblW w:w="830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483"/>
        <w:gridCol w:w="2439"/>
        <w:gridCol w:w="23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306" w:type="dxa"/>
            <w:gridSpan w:val="3"/>
            <w:tcBorders>
              <w:top w:val="nil"/>
              <w:left w:val="nil"/>
              <w:bottom w:val="single" w:color="auto" w:sz="12" w:space="0"/>
              <w:right w:val="nil"/>
            </w:tcBorders>
            <w:shd w:val="clear" w:color="auto" w:fill="FFFFFF"/>
            <w:vAlign w:val="center"/>
          </w:tcPr>
          <w:p>
            <w:pPr>
              <w:widowControl/>
              <w:spacing w:line="320" w:lineRule="atLeast"/>
              <w:ind w:left="57" w:right="57"/>
              <w:jc w:val="center"/>
              <w:rPr>
                <w:rFonts w:hint="eastAsia" w:ascii="Times New Roman" w:hAnsi="Times New Roman" w:cs="Times New Roman"/>
                <w:b/>
                <w:bCs/>
                <w:color w:val="000000" w:themeColor="text1"/>
                <w:kern w:val="0"/>
                <w:sz w:val="24"/>
                <w14:textFill>
                  <w14:solidFill>
                    <w14:schemeClr w14:val="tx1"/>
                  </w14:solidFill>
                </w14:textFill>
              </w:rPr>
            </w:pPr>
            <w:r>
              <w:rPr>
                <w:rFonts w:hint="eastAsia" w:ascii="Times New Roman" w:hAnsi="Times New Roman" w:cs="Times New Roman"/>
                <w:b/>
                <w:bCs/>
                <w:color w:val="000000" w:themeColor="text1"/>
                <w:kern w:val="0"/>
                <w:sz w:val="24"/>
                <w14:textFill>
                  <w14:solidFill>
                    <w14:schemeClr w14:val="tx1"/>
                  </w14:solidFill>
                </w14:textFill>
              </w:rPr>
              <w:t>表</w:t>
            </w:r>
            <w:r>
              <w:rPr>
                <w:rFonts w:ascii="Times New Roman" w:hAnsi="Times New Roman" w:cs="Times New Roman"/>
                <w:b/>
                <w:bCs/>
                <w:color w:val="000000" w:themeColor="text1"/>
                <w:kern w:val="0"/>
                <w:sz w:val="24"/>
                <w14:textFill>
                  <w14:solidFill>
                    <w14:schemeClr w14:val="tx1"/>
                  </w14:solidFill>
                </w14:textFill>
              </w:rPr>
              <w:t>5-4</w:t>
            </w:r>
            <w:r>
              <w:rPr>
                <w:rFonts w:hint="eastAsia" w:ascii="Times New Roman" w:hAnsi="Times New Roman" w:cs="Times New Roman"/>
                <w:b/>
                <w:bCs/>
                <w:color w:val="000000" w:themeColor="text1"/>
                <w:kern w:val="0"/>
                <w:sz w:val="24"/>
                <w14:textFill>
                  <w14:solidFill>
                    <w14:schemeClr w14:val="tx1"/>
                  </w14:solidFill>
                </w14:textFill>
              </w:rPr>
              <w:t>　按行业大类分组的居民服务、修理和其他服务业</w:t>
            </w:r>
          </w:p>
          <w:p>
            <w:pPr>
              <w:widowControl/>
              <w:spacing w:line="320" w:lineRule="atLeast"/>
              <w:ind w:left="57" w:right="57"/>
              <w:jc w:val="center"/>
              <w:rPr>
                <w:rFonts w:ascii="Times New Roman" w:hAnsi="Times New Roman" w:cs="Times New Roman"/>
                <w:color w:val="000000" w:themeColor="text1"/>
                <w:kern w:val="0"/>
                <w:sz w:val="24"/>
                <w14:textFill>
                  <w14:solidFill>
                    <w14:schemeClr w14:val="tx1"/>
                  </w14:solidFill>
                </w14:textFill>
              </w:rPr>
            </w:pPr>
            <w:r>
              <w:rPr>
                <w:rFonts w:hint="eastAsia" w:ascii="Times New Roman" w:hAnsi="Times New Roman" w:cs="Times New Roman"/>
                <w:b/>
                <w:bCs/>
                <w:color w:val="000000" w:themeColor="text1"/>
                <w:kern w:val="0"/>
                <w:sz w:val="24"/>
                <w14:textFill>
                  <w14:solidFill>
                    <w14:schemeClr w14:val="tx1"/>
                  </w14:solidFill>
                </w14:textFill>
              </w:rPr>
              <w:t>企业法人单位和从业人员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483" w:type="dxa"/>
            <w:tcBorders>
              <w:top w:val="nil"/>
              <w:left w:val="nil"/>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 </w:t>
            </w:r>
          </w:p>
        </w:tc>
        <w:tc>
          <w:tcPr>
            <w:tcW w:w="2439"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000000" w:themeColor="text1"/>
                <w:kern w:val="0"/>
                <w:sz w:val="18"/>
                <w:szCs w:val="18"/>
                <w14:textFill>
                  <w14:solidFill>
                    <w14:schemeClr w14:val="tx1"/>
                  </w14:solidFill>
                </w14:textFill>
              </w:rPr>
            </w:pPr>
            <w:r>
              <w:rPr>
                <w:rFonts w:hint="eastAsia" w:ascii="Times New Roman" w:hAnsi="Times New Roman" w:cs="Times New Roman"/>
                <w:b/>
                <w:color w:val="000000" w:themeColor="text1"/>
                <w:kern w:val="0"/>
                <w:szCs w:val="21"/>
                <w14:textFill>
                  <w14:solidFill>
                    <w14:schemeClr w14:val="tx1"/>
                  </w14:solidFill>
                </w14:textFill>
              </w:rPr>
              <w:t>企业法人单位（个）</w:t>
            </w:r>
          </w:p>
        </w:tc>
        <w:tc>
          <w:tcPr>
            <w:tcW w:w="2384" w:type="dxa"/>
            <w:tcBorders>
              <w:top w:val="nil"/>
              <w:left w:val="single" w:color="auto" w:sz="4" w:space="0"/>
              <w:bottom w:val="single" w:color="auto" w:sz="4" w:space="0"/>
              <w:right w:val="nil"/>
            </w:tcBorders>
            <w:vAlign w:val="center"/>
          </w:tcPr>
          <w:p>
            <w:pPr>
              <w:widowControl/>
              <w:spacing w:line="240" w:lineRule="atLeast"/>
              <w:ind w:left="57" w:right="57"/>
              <w:jc w:val="center"/>
              <w:rPr>
                <w:rFonts w:ascii="Times New Roman" w:hAnsi="Times New Roman" w:cs="Times New Roman"/>
                <w:b/>
                <w:color w:val="000000" w:themeColor="text1"/>
                <w:kern w:val="0"/>
                <w:sz w:val="18"/>
                <w:szCs w:val="18"/>
                <w14:textFill>
                  <w14:solidFill>
                    <w14:schemeClr w14:val="tx1"/>
                  </w14:solidFill>
                </w14:textFill>
              </w:rPr>
            </w:pPr>
            <w:r>
              <w:rPr>
                <w:rFonts w:hint="eastAsia" w:ascii="Times New Roman" w:hAnsi="Times New Roman" w:cs="Times New Roman"/>
                <w:b/>
                <w:color w:val="000000" w:themeColor="text1"/>
                <w:kern w:val="0"/>
                <w:szCs w:val="21"/>
                <w14:textFill>
                  <w14:solidFill>
                    <w14:schemeClr w14:val="tx1"/>
                  </w14:solidFill>
                </w14:textFill>
              </w:rPr>
              <w:t>从业人员（人）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483" w:type="dxa"/>
            <w:tcBorders>
              <w:top w:val="single" w:color="auto" w:sz="4" w:space="0"/>
              <w:left w:val="nil"/>
              <w:bottom w:val="nil"/>
              <w:right w:val="single" w:color="auto" w:sz="4" w:space="0"/>
            </w:tcBorders>
            <w:vAlign w:val="center"/>
          </w:tcPr>
          <w:p>
            <w:pPr>
              <w:widowControl/>
              <w:spacing w:line="240" w:lineRule="atLeast"/>
              <w:ind w:left="57" w:right="57"/>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b/>
                <w:bCs/>
                <w:color w:val="000000" w:themeColor="text1"/>
                <w:kern w:val="0"/>
                <w:szCs w:val="21"/>
                <w14:textFill>
                  <w14:solidFill>
                    <w14:schemeClr w14:val="tx1"/>
                  </w14:solidFill>
                </w14:textFill>
              </w:rPr>
              <w:t>合　计</w:t>
            </w:r>
          </w:p>
        </w:tc>
        <w:tc>
          <w:tcPr>
            <w:tcW w:w="2439" w:type="dxa"/>
            <w:tcBorders>
              <w:top w:val="single" w:color="auto" w:sz="4" w:space="0"/>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eastAsiaTheme="minorEastAsia"/>
                <w:b/>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color w:val="000000" w:themeColor="text1"/>
                <w:kern w:val="0"/>
                <w:sz w:val="18"/>
                <w:szCs w:val="18"/>
                <w:lang w:val="en-US" w:eastAsia="zh-CN"/>
                <w14:textFill>
                  <w14:solidFill>
                    <w14:schemeClr w14:val="tx1"/>
                  </w14:solidFill>
                </w14:textFill>
              </w:rPr>
              <w:t>29</w:t>
            </w:r>
          </w:p>
        </w:tc>
        <w:tc>
          <w:tcPr>
            <w:tcW w:w="2384" w:type="dxa"/>
            <w:tcBorders>
              <w:top w:val="single" w:color="auto" w:sz="4" w:space="0"/>
              <w:left w:val="single" w:color="auto" w:sz="4" w:space="0"/>
              <w:bottom w:val="nil"/>
              <w:right w:val="nil"/>
            </w:tcBorders>
            <w:vAlign w:val="center"/>
          </w:tcPr>
          <w:p>
            <w:pPr>
              <w:widowControl/>
              <w:spacing w:line="240" w:lineRule="atLeast"/>
              <w:ind w:left="57" w:right="57"/>
              <w:jc w:val="right"/>
              <w:rPr>
                <w:rFonts w:hint="default" w:ascii="Times New Roman" w:hAnsi="Times New Roman" w:cs="Times New Roman" w:eastAsiaTheme="minorEastAsia"/>
                <w:b/>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color w:val="000000" w:themeColor="text1"/>
                <w:kern w:val="0"/>
                <w:sz w:val="18"/>
                <w:szCs w:val="18"/>
                <w:lang w:val="en-US" w:eastAsia="zh-CN"/>
                <w14:textFill>
                  <w14:solidFill>
                    <w14:schemeClr w14:val="tx1"/>
                  </w14:solidFill>
                </w14:textFill>
              </w:rPr>
              <w:t>152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483" w:type="dxa"/>
            <w:tcBorders>
              <w:top w:val="nil"/>
              <w:left w:val="nil"/>
              <w:bottom w:val="nil"/>
              <w:right w:val="single" w:color="auto" w:sz="4" w:space="0"/>
            </w:tcBorders>
            <w:vAlign w:val="center"/>
          </w:tcPr>
          <w:p>
            <w:pPr>
              <w:rPr>
                <w:rFonts w:ascii="Times New Roman" w:hAnsi="Times New Roman" w:cs="Times New Roman"/>
                <w:b w:val="0"/>
                <w:bCs w:val="0"/>
                <w:color w:val="000000" w:themeColor="text1"/>
                <w14:textFill>
                  <w14:solidFill>
                    <w14:schemeClr w14:val="tx1"/>
                  </w14:solidFill>
                </w14:textFill>
              </w:rPr>
            </w:pPr>
            <w:r>
              <w:rPr>
                <w:rFonts w:hint="eastAsia" w:ascii="Times New Roman" w:hAnsi="Times New Roman" w:cs="Times New Roman"/>
                <w:b w:val="0"/>
                <w:bCs w:val="0"/>
                <w:color w:val="000000" w:themeColor="text1"/>
                <w:kern w:val="0"/>
                <w:szCs w:val="21"/>
                <w14:textFill>
                  <w14:solidFill>
                    <w14:schemeClr w14:val="tx1"/>
                  </w14:solidFill>
                </w14:textFill>
              </w:rPr>
              <w:t>　居民服务业</w:t>
            </w:r>
          </w:p>
        </w:tc>
        <w:tc>
          <w:tcPr>
            <w:tcW w:w="2439"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eastAsiaTheme="minorEastAsia"/>
                <w:b w:val="0"/>
                <w:bCs w:val="0"/>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18"/>
                <w:szCs w:val="18"/>
                <w:lang w:val="en-US" w:eastAsia="zh-CN"/>
                <w14:textFill>
                  <w14:solidFill>
                    <w14:schemeClr w14:val="tx1"/>
                  </w14:solidFill>
                </w14:textFill>
              </w:rPr>
              <w:t>16</w:t>
            </w:r>
          </w:p>
        </w:tc>
        <w:tc>
          <w:tcPr>
            <w:tcW w:w="2384" w:type="dxa"/>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cs="Times New Roman" w:eastAsiaTheme="minorEastAsia"/>
                <w:b w:val="0"/>
                <w:bCs w:val="0"/>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18"/>
                <w:szCs w:val="18"/>
                <w:lang w:val="en-US" w:eastAsia="zh-CN"/>
                <w14:textFill>
                  <w14:solidFill>
                    <w14:schemeClr w14:val="tx1"/>
                  </w14:solidFill>
                </w14:textFill>
              </w:rPr>
              <w:t>86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483" w:type="dxa"/>
            <w:tcBorders>
              <w:top w:val="nil"/>
              <w:left w:val="nil"/>
              <w:bottom w:val="nil"/>
              <w:right w:val="single" w:color="auto" w:sz="4" w:space="0"/>
            </w:tcBorders>
            <w:vAlign w:val="center"/>
          </w:tcPr>
          <w:p>
            <w:pPr>
              <w:rPr>
                <w:rFonts w:ascii="Times New Roman" w:hAnsi="Times New Roman" w:cs="Times New Roman"/>
                <w:b w:val="0"/>
                <w:bCs w:val="0"/>
                <w:color w:val="000000" w:themeColor="text1"/>
                <w14:textFill>
                  <w14:solidFill>
                    <w14:schemeClr w14:val="tx1"/>
                  </w14:solidFill>
                </w14:textFill>
              </w:rPr>
            </w:pPr>
            <w:r>
              <w:rPr>
                <w:rFonts w:hint="eastAsia" w:ascii="Times New Roman" w:hAnsi="Times New Roman" w:cs="Times New Roman"/>
                <w:b w:val="0"/>
                <w:bCs w:val="0"/>
                <w:color w:val="000000" w:themeColor="text1"/>
                <w:kern w:val="0"/>
                <w:szCs w:val="21"/>
                <w14:textFill>
                  <w14:solidFill>
                    <w14:schemeClr w14:val="tx1"/>
                  </w14:solidFill>
                </w14:textFill>
              </w:rPr>
              <w:t>　机动车、电子产品和日用产品修理业</w:t>
            </w:r>
          </w:p>
        </w:tc>
        <w:tc>
          <w:tcPr>
            <w:tcW w:w="2439"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eastAsiaTheme="minorEastAsia"/>
                <w:b w:val="0"/>
                <w:bCs w:val="0"/>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18"/>
                <w:szCs w:val="18"/>
                <w:lang w:val="en-US" w:eastAsia="zh-CN"/>
                <w14:textFill>
                  <w14:solidFill>
                    <w14:schemeClr w14:val="tx1"/>
                  </w14:solidFill>
                </w14:textFill>
              </w:rPr>
              <w:t>13</w:t>
            </w:r>
          </w:p>
        </w:tc>
        <w:tc>
          <w:tcPr>
            <w:tcW w:w="2384" w:type="dxa"/>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cs="Times New Roman" w:eastAsiaTheme="minorEastAsia"/>
                <w:b w:val="0"/>
                <w:bCs w:val="0"/>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18"/>
                <w:szCs w:val="18"/>
                <w:lang w:val="en-US" w:eastAsia="zh-CN"/>
                <w14:textFill>
                  <w14:solidFill>
                    <w14:schemeClr w14:val="tx1"/>
                  </w14:solidFill>
                </w14:textFill>
              </w:rPr>
              <w:t>66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483" w:type="dxa"/>
            <w:tcBorders>
              <w:top w:val="nil"/>
              <w:left w:val="nil"/>
              <w:bottom w:val="single" w:color="auto" w:sz="12" w:space="0"/>
              <w:right w:val="single" w:color="auto" w:sz="4" w:space="0"/>
            </w:tcBorders>
            <w:vAlign w:val="center"/>
          </w:tcPr>
          <w:p>
            <w:pPr>
              <w:rPr>
                <w:rFonts w:ascii="Times New Roman" w:hAnsi="Times New Roman" w:cs="Times New Roman"/>
                <w:b w:val="0"/>
                <w:bCs w:val="0"/>
                <w:color w:val="000000" w:themeColor="text1"/>
                <w14:textFill>
                  <w14:solidFill>
                    <w14:schemeClr w14:val="tx1"/>
                  </w14:solidFill>
                </w14:textFill>
              </w:rPr>
            </w:pPr>
            <w:r>
              <w:rPr>
                <w:rFonts w:hint="eastAsia" w:ascii="Times New Roman" w:hAnsi="Times New Roman" w:cs="Times New Roman"/>
                <w:b w:val="0"/>
                <w:bCs w:val="0"/>
                <w:color w:val="000000" w:themeColor="text1"/>
                <w:kern w:val="0"/>
                <w:szCs w:val="21"/>
                <w14:textFill>
                  <w14:solidFill>
                    <w14:schemeClr w14:val="tx1"/>
                  </w14:solidFill>
                </w14:textFill>
              </w:rPr>
              <w:t>　其他服务业</w:t>
            </w:r>
          </w:p>
        </w:tc>
        <w:tc>
          <w:tcPr>
            <w:tcW w:w="2439" w:type="dxa"/>
            <w:tcBorders>
              <w:top w:val="nil"/>
              <w:left w:val="single" w:color="auto" w:sz="4" w:space="0"/>
              <w:bottom w:val="single" w:color="auto" w:sz="12" w:space="0"/>
              <w:right w:val="single" w:color="auto" w:sz="4" w:space="0"/>
            </w:tcBorders>
            <w:vAlign w:val="center"/>
          </w:tcPr>
          <w:p>
            <w:pPr>
              <w:widowControl/>
              <w:spacing w:line="240" w:lineRule="atLeast"/>
              <w:ind w:left="57" w:right="57"/>
              <w:jc w:val="right"/>
              <w:rPr>
                <w:rFonts w:hint="eastAsia" w:ascii="Times New Roman" w:hAnsi="Times New Roman" w:cs="Times New Roman" w:eastAsiaTheme="minorEastAsia"/>
                <w:b w:val="0"/>
                <w:bCs w:val="0"/>
                <w:color w:val="000000" w:themeColor="text1"/>
                <w:kern w:val="0"/>
                <w:sz w:val="18"/>
                <w:szCs w:val="18"/>
                <w:lang w:eastAsia="zh-CN"/>
                <w14:textFill>
                  <w14:solidFill>
                    <w14:schemeClr w14:val="tx1"/>
                  </w14:solidFill>
                </w14:textFill>
              </w:rPr>
            </w:pPr>
            <w:r>
              <w:rPr>
                <w:rFonts w:hint="eastAsia" w:ascii="Times New Roman" w:hAnsi="Times New Roman" w:cs="Times New Roman"/>
                <w:b w:val="0"/>
                <w:bCs w:val="0"/>
                <w:color w:val="000000" w:themeColor="text1"/>
                <w:kern w:val="0"/>
                <w:sz w:val="18"/>
                <w:szCs w:val="18"/>
                <w:lang w:val="en-US" w:eastAsia="zh-CN"/>
                <w14:textFill>
                  <w14:solidFill>
                    <w14:schemeClr w14:val="tx1"/>
                  </w14:solidFill>
                </w14:textFill>
              </w:rPr>
              <w:t>0</w:t>
            </w:r>
          </w:p>
        </w:tc>
        <w:tc>
          <w:tcPr>
            <w:tcW w:w="2384" w:type="dxa"/>
            <w:tcBorders>
              <w:top w:val="nil"/>
              <w:left w:val="single" w:color="auto" w:sz="4" w:space="0"/>
              <w:bottom w:val="single" w:color="auto" w:sz="12" w:space="0"/>
              <w:right w:val="nil"/>
            </w:tcBorders>
            <w:vAlign w:val="center"/>
          </w:tcPr>
          <w:p>
            <w:pPr>
              <w:widowControl/>
              <w:spacing w:line="240" w:lineRule="atLeast"/>
              <w:ind w:left="57" w:right="57"/>
              <w:jc w:val="right"/>
              <w:rPr>
                <w:rFonts w:hint="eastAsia" w:ascii="Times New Roman" w:hAnsi="Times New Roman" w:cs="Times New Roman" w:eastAsiaTheme="minorEastAsia"/>
                <w:b w:val="0"/>
                <w:bCs w:val="0"/>
                <w:color w:val="000000" w:themeColor="text1"/>
                <w:kern w:val="0"/>
                <w:sz w:val="18"/>
                <w:szCs w:val="18"/>
                <w:lang w:eastAsia="zh-CN"/>
                <w14:textFill>
                  <w14:solidFill>
                    <w14:schemeClr w14:val="tx1"/>
                  </w14:solidFill>
                </w14:textFill>
              </w:rPr>
            </w:pPr>
            <w:r>
              <w:rPr>
                <w:rFonts w:hint="eastAsia" w:ascii="Times New Roman" w:hAnsi="Times New Roman" w:cs="Times New Roman"/>
                <w:b w:val="0"/>
                <w:bCs w:val="0"/>
                <w:color w:val="000000" w:themeColor="text1"/>
                <w:kern w:val="0"/>
                <w:sz w:val="18"/>
                <w:szCs w:val="18"/>
                <w:lang w:val="en-US" w:eastAsia="zh-CN"/>
                <w14:textFill>
                  <w14:solidFill>
                    <w14:schemeClr w14:val="tx1"/>
                  </w14:solidFill>
                </w14:textFill>
              </w:rPr>
              <w:t>0</w:t>
            </w:r>
          </w:p>
        </w:tc>
      </w:tr>
    </w:tbl>
    <w:p>
      <w:pPr>
        <w:keepNext w:val="0"/>
        <w:keepLines w:val="0"/>
        <w:pageBreakBefore w:val="0"/>
        <w:kinsoku/>
        <w:wordWrap/>
        <w:overflowPunct/>
        <w:topLinePunct w:val="0"/>
        <w:autoSpaceDE/>
        <w:autoSpaceDN/>
        <w:bidi w:val="0"/>
        <w:adjustRightInd/>
        <w:snapToGrid/>
        <w:spacing w:line="520" w:lineRule="exact"/>
        <w:ind w:firstLine="420"/>
        <w:textAlignment w:val="auto"/>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在居民服务、修理和其他服务业企业法人单位</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和</w:t>
      </w:r>
      <w:r>
        <w:rPr>
          <w:rFonts w:ascii="Times New Roman" w:hAnsi="Times New Roman" w:eastAsia="方正仿宋_GBK" w:cs="Times New Roman"/>
          <w:color w:val="000000" w:themeColor="text1"/>
          <w:kern w:val="0"/>
          <w:sz w:val="32"/>
          <w:szCs w:val="32"/>
          <w14:textFill>
            <w14:solidFill>
              <w14:schemeClr w14:val="tx1"/>
            </w14:solidFill>
          </w14:textFill>
        </w:rPr>
        <w:t>从业人员</w:t>
      </w:r>
      <w:r>
        <w:rPr>
          <w:rFonts w:hint="eastAsia" w:ascii="Times New Roman" w:hAnsi="Times New Roman" w:eastAsia="方正仿宋_GBK" w:cs="Times New Roman"/>
          <w:color w:val="000000" w:themeColor="text1"/>
          <w:kern w:val="0"/>
          <w:sz w:val="32"/>
          <w:szCs w:val="32"/>
          <w14:textFill>
            <w14:solidFill>
              <w14:schemeClr w14:val="tx1"/>
            </w14:solidFill>
          </w14:textFill>
        </w:rPr>
        <w:t>中，内资企业均占</w:t>
      </w:r>
      <w:r>
        <w:rPr>
          <w:rFonts w:ascii="Times New Roman" w:hAnsi="Times New Roman" w:eastAsia="方正仿宋_GBK" w:cs="Times New Roman"/>
          <w:color w:val="000000" w:themeColor="text1"/>
          <w:sz w:val="32"/>
          <w:szCs w:val="32"/>
          <w14:textFill>
            <w14:solidFill>
              <w14:schemeClr w14:val="tx1"/>
            </w14:solidFill>
          </w14:textFill>
        </w:rPr>
        <w:t>100</w:t>
      </w:r>
      <w:r>
        <w:rPr>
          <w:rFonts w:hint="eastAsia" w:ascii="Times New Roman" w:hAnsi="Times New Roman" w:eastAsia="方正仿宋_GBK" w:cs="Times New Roman"/>
          <w:color w:val="000000" w:themeColor="text1"/>
          <w:kern w:val="0"/>
          <w:sz w:val="32"/>
          <w:szCs w:val="32"/>
          <w14:textFill>
            <w14:solidFill>
              <w14:schemeClr w14:val="tx1"/>
            </w14:solidFill>
          </w14:textFill>
        </w:rPr>
        <w:t>%（详见表</w:t>
      </w:r>
      <w:r>
        <w:rPr>
          <w:rFonts w:ascii="Times New Roman" w:hAnsi="Times New Roman" w:eastAsia="方正仿宋_GBK" w:cs="Times New Roman"/>
          <w:color w:val="000000" w:themeColor="text1"/>
          <w:kern w:val="0"/>
          <w:sz w:val="32"/>
          <w:szCs w:val="32"/>
          <w14:textFill>
            <w14:solidFill>
              <w14:schemeClr w14:val="tx1"/>
            </w14:solidFill>
          </w14:textFill>
        </w:rPr>
        <w:t>5-5</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p>
    <w:tbl>
      <w:tblPr>
        <w:tblStyle w:val="8"/>
        <w:tblW w:w="830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219"/>
        <w:gridCol w:w="2826"/>
        <w:gridCol w:w="226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8306" w:type="dxa"/>
            <w:gridSpan w:val="3"/>
            <w:tcBorders>
              <w:top w:val="nil"/>
              <w:left w:val="nil"/>
              <w:bottom w:val="single" w:color="auto" w:sz="12" w:space="0"/>
              <w:right w:val="nil"/>
            </w:tcBorders>
            <w:shd w:val="clear" w:color="auto" w:fill="FFFFFF"/>
            <w:vAlign w:val="center"/>
          </w:tcPr>
          <w:p>
            <w:pPr>
              <w:widowControl/>
              <w:spacing w:line="320" w:lineRule="atLeast"/>
              <w:ind w:left="57" w:right="57"/>
              <w:jc w:val="center"/>
              <w:rPr>
                <w:rFonts w:ascii="Times New Roman" w:hAnsi="Times New Roman" w:cs="Times New Roman"/>
                <w:b/>
                <w:bCs/>
                <w:color w:val="000000" w:themeColor="text1"/>
                <w:kern w:val="0"/>
                <w:sz w:val="24"/>
                <w14:textFill>
                  <w14:solidFill>
                    <w14:schemeClr w14:val="tx1"/>
                  </w14:solidFill>
                </w14:textFill>
              </w:rPr>
            </w:pPr>
            <w:r>
              <w:rPr>
                <w:rFonts w:hint="eastAsia" w:ascii="Times New Roman" w:hAnsi="Times New Roman" w:cs="Times New Roman"/>
                <w:b/>
                <w:bCs/>
                <w:color w:val="000000" w:themeColor="text1"/>
                <w:kern w:val="0"/>
                <w:sz w:val="24"/>
                <w14:textFill>
                  <w14:solidFill>
                    <w14:schemeClr w14:val="tx1"/>
                  </w14:solidFill>
                </w14:textFill>
              </w:rPr>
              <w:t>表</w:t>
            </w:r>
            <w:r>
              <w:rPr>
                <w:rFonts w:ascii="Times New Roman" w:hAnsi="Times New Roman" w:cs="Times New Roman"/>
                <w:b/>
                <w:bCs/>
                <w:color w:val="000000" w:themeColor="text1"/>
                <w:kern w:val="0"/>
                <w:sz w:val="24"/>
                <w14:textFill>
                  <w14:solidFill>
                    <w14:schemeClr w14:val="tx1"/>
                  </w14:solidFill>
                </w14:textFill>
              </w:rPr>
              <w:t>5-5</w:t>
            </w:r>
            <w:r>
              <w:rPr>
                <w:rFonts w:hint="eastAsia" w:ascii="Times New Roman" w:hAnsi="Times New Roman" w:cs="Times New Roman"/>
                <w:b/>
                <w:bCs/>
                <w:color w:val="000000" w:themeColor="text1"/>
                <w:kern w:val="0"/>
                <w:sz w:val="24"/>
                <w14:textFill>
                  <w14:solidFill>
                    <w14:schemeClr w14:val="tx1"/>
                  </w14:solidFill>
                </w14:textFill>
              </w:rPr>
              <w:t>　按登记注册</w:t>
            </w:r>
            <w:r>
              <w:rPr>
                <w:rFonts w:hint="eastAsia" w:ascii="Times New Roman" w:hAnsi="Times New Roman" w:cs="Times New Roman"/>
                <w:b/>
                <w:bCs/>
                <w:color w:val="000000" w:themeColor="text1"/>
                <w:kern w:val="0"/>
                <w:sz w:val="24"/>
                <w:lang w:eastAsia="zh-CN"/>
                <w14:textFill>
                  <w14:solidFill>
                    <w14:schemeClr w14:val="tx1"/>
                  </w14:solidFill>
                </w14:textFill>
              </w:rPr>
              <w:t>统计类别</w:t>
            </w:r>
            <w:r>
              <w:rPr>
                <w:rFonts w:hint="eastAsia" w:ascii="Times New Roman" w:hAnsi="Times New Roman" w:cs="Times New Roman"/>
                <w:b/>
                <w:bCs/>
                <w:color w:val="000000" w:themeColor="text1"/>
                <w:kern w:val="0"/>
                <w:sz w:val="24"/>
                <w14:textFill>
                  <w14:solidFill>
                    <w14:schemeClr w14:val="tx1"/>
                  </w14:solidFill>
                </w14:textFill>
              </w:rPr>
              <w:t>分组的居民服务、修理和其他服务业</w:t>
            </w:r>
          </w:p>
          <w:p>
            <w:pPr>
              <w:widowControl/>
              <w:spacing w:line="320" w:lineRule="atLeast"/>
              <w:ind w:left="57" w:right="57"/>
              <w:jc w:val="center"/>
              <w:rPr>
                <w:rFonts w:ascii="Times New Roman" w:hAnsi="Times New Roman" w:cs="Times New Roman"/>
                <w:color w:val="000000" w:themeColor="text1"/>
                <w:kern w:val="0"/>
                <w:sz w:val="24"/>
                <w14:textFill>
                  <w14:solidFill>
                    <w14:schemeClr w14:val="tx1"/>
                  </w14:solidFill>
                </w14:textFill>
              </w:rPr>
            </w:pPr>
            <w:r>
              <w:rPr>
                <w:rFonts w:hint="eastAsia" w:ascii="Times New Roman" w:hAnsi="Times New Roman" w:cs="Times New Roman"/>
                <w:b/>
                <w:bCs/>
                <w:color w:val="000000" w:themeColor="text1"/>
                <w:kern w:val="0"/>
                <w:sz w:val="24"/>
                <w14:textFill>
                  <w14:solidFill>
                    <w14:schemeClr w14:val="tx1"/>
                  </w14:solidFill>
                </w14:textFill>
              </w:rPr>
              <w:t>企业法人单位和从业人员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21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b/>
                <w:color w:val="000000" w:themeColor="text1"/>
                <w:kern w:val="0"/>
                <w:sz w:val="24"/>
                <w14:textFill>
                  <w14:solidFill>
                    <w14:schemeClr w14:val="tx1"/>
                  </w14:solidFill>
                </w14:textFill>
              </w:rPr>
            </w:pPr>
            <w:r>
              <w:rPr>
                <w:rFonts w:ascii="Times New Roman" w:hAnsi="Times New Roman" w:cs="Times New Roman"/>
                <w:b/>
                <w:color w:val="000000" w:themeColor="text1"/>
                <w:kern w:val="0"/>
                <w:sz w:val="24"/>
                <w14:textFill>
                  <w14:solidFill>
                    <w14:schemeClr w14:val="tx1"/>
                  </w14:solidFill>
                </w14:textFill>
              </w:rPr>
              <w:t> </w:t>
            </w:r>
          </w:p>
        </w:tc>
        <w:tc>
          <w:tcPr>
            <w:tcW w:w="2826"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000000" w:themeColor="text1"/>
                <w:kern w:val="0"/>
                <w:sz w:val="18"/>
                <w:szCs w:val="18"/>
                <w14:textFill>
                  <w14:solidFill>
                    <w14:schemeClr w14:val="tx1"/>
                  </w14:solidFill>
                </w14:textFill>
              </w:rPr>
            </w:pPr>
            <w:r>
              <w:rPr>
                <w:rFonts w:hint="eastAsia" w:ascii="Times New Roman" w:hAnsi="Times New Roman" w:cs="Times New Roman"/>
                <w:b/>
                <w:color w:val="000000" w:themeColor="text1"/>
                <w:kern w:val="0"/>
                <w:szCs w:val="21"/>
                <w14:textFill>
                  <w14:solidFill>
                    <w14:schemeClr w14:val="tx1"/>
                  </w14:solidFill>
                </w14:textFill>
              </w:rPr>
              <w:t>企业法人单位</w:t>
            </w:r>
            <w:r>
              <w:rPr>
                <w:rFonts w:ascii="Times New Roman" w:hAnsi="Times New Roman" w:cs="Times New Roman"/>
                <w:b/>
                <w:color w:val="000000" w:themeColor="text1"/>
                <w:kern w:val="0"/>
                <w:szCs w:val="21"/>
                <w14:textFill>
                  <w14:solidFill>
                    <w14:schemeClr w14:val="tx1"/>
                  </w14:solidFill>
                </w14:textFill>
              </w:rPr>
              <w:t>(</w:t>
            </w:r>
            <w:r>
              <w:rPr>
                <w:rFonts w:hint="eastAsia" w:ascii="Times New Roman" w:hAnsi="Times New Roman" w:cs="Times New Roman"/>
                <w:b/>
                <w:color w:val="000000" w:themeColor="text1"/>
                <w:kern w:val="0"/>
                <w:szCs w:val="21"/>
                <w14:textFill>
                  <w14:solidFill>
                    <w14:schemeClr w14:val="tx1"/>
                  </w14:solidFill>
                </w14:textFill>
              </w:rPr>
              <w:t>个</w:t>
            </w:r>
            <w:r>
              <w:rPr>
                <w:rFonts w:ascii="Times New Roman" w:hAnsi="Times New Roman" w:cs="Times New Roman"/>
                <w:b/>
                <w:color w:val="000000" w:themeColor="text1"/>
                <w:kern w:val="0"/>
                <w:szCs w:val="21"/>
                <w14:textFill>
                  <w14:solidFill>
                    <w14:schemeClr w14:val="tx1"/>
                  </w14:solidFill>
                </w14:textFill>
              </w:rPr>
              <w:t>)</w:t>
            </w:r>
          </w:p>
        </w:tc>
        <w:tc>
          <w:tcPr>
            <w:tcW w:w="2261" w:type="dxa"/>
            <w:tcBorders>
              <w:top w:val="nil"/>
              <w:left w:val="single" w:color="auto" w:sz="4" w:space="0"/>
              <w:bottom w:val="single" w:color="auto" w:sz="4" w:space="0"/>
              <w:right w:val="nil"/>
            </w:tcBorders>
            <w:vAlign w:val="center"/>
          </w:tcPr>
          <w:p>
            <w:pPr>
              <w:widowControl/>
              <w:spacing w:line="240" w:lineRule="atLeast"/>
              <w:ind w:left="57" w:right="57"/>
              <w:jc w:val="center"/>
              <w:rPr>
                <w:rFonts w:ascii="Times New Roman" w:hAnsi="Times New Roman" w:cs="Times New Roman"/>
                <w:b/>
                <w:color w:val="000000" w:themeColor="text1"/>
                <w:kern w:val="0"/>
                <w:sz w:val="18"/>
                <w:szCs w:val="18"/>
                <w14:textFill>
                  <w14:solidFill>
                    <w14:schemeClr w14:val="tx1"/>
                  </w14:solidFill>
                </w14:textFill>
              </w:rPr>
            </w:pPr>
            <w:r>
              <w:rPr>
                <w:rFonts w:hint="eastAsia" w:ascii="Times New Roman" w:hAnsi="Times New Roman" w:cs="Times New Roman"/>
                <w:b/>
                <w:color w:val="000000" w:themeColor="text1"/>
                <w:kern w:val="0"/>
                <w:szCs w:val="21"/>
                <w14:textFill>
                  <w14:solidFill>
                    <w14:schemeClr w14:val="tx1"/>
                  </w14:solidFill>
                </w14:textFill>
              </w:rPr>
              <w:t>从业人员</w:t>
            </w:r>
            <w:r>
              <w:rPr>
                <w:rFonts w:ascii="Times New Roman" w:hAnsi="Times New Roman" w:cs="Times New Roman"/>
                <w:b/>
                <w:color w:val="000000" w:themeColor="text1"/>
                <w:kern w:val="0"/>
                <w:szCs w:val="21"/>
                <w14:textFill>
                  <w14:solidFill>
                    <w14:schemeClr w14:val="tx1"/>
                  </w14:solidFill>
                </w14:textFill>
              </w:rPr>
              <w:t>(</w:t>
            </w:r>
            <w:r>
              <w:rPr>
                <w:rFonts w:hint="eastAsia" w:ascii="Times New Roman" w:hAnsi="Times New Roman" w:cs="Times New Roman"/>
                <w:b/>
                <w:color w:val="000000" w:themeColor="text1"/>
                <w:kern w:val="0"/>
                <w:szCs w:val="21"/>
                <w14:textFill>
                  <w14:solidFill>
                    <w14:schemeClr w14:val="tx1"/>
                  </w14:solidFill>
                </w14:textFill>
              </w:rPr>
              <w:t>人</w:t>
            </w:r>
            <w:r>
              <w:rPr>
                <w:rFonts w:ascii="Times New Roman" w:hAnsi="Times New Roman" w:cs="Times New Roman"/>
                <w:b/>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219" w:type="dxa"/>
            <w:tcBorders>
              <w:top w:val="single" w:color="auto" w:sz="4" w:space="0"/>
              <w:left w:val="nil"/>
              <w:bottom w:val="nil"/>
              <w:right w:val="single" w:color="auto" w:sz="4" w:space="0"/>
            </w:tcBorders>
            <w:vAlign w:val="center"/>
          </w:tcPr>
          <w:p>
            <w:pPr>
              <w:widowControl/>
              <w:spacing w:line="240" w:lineRule="atLeast"/>
              <w:ind w:left="57" w:right="57"/>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b/>
                <w:bCs/>
                <w:color w:val="000000" w:themeColor="text1"/>
                <w:kern w:val="0"/>
                <w:szCs w:val="21"/>
                <w14:textFill>
                  <w14:solidFill>
                    <w14:schemeClr w14:val="tx1"/>
                  </w14:solidFill>
                </w14:textFill>
              </w:rPr>
              <w:t>合　计</w:t>
            </w:r>
          </w:p>
        </w:tc>
        <w:tc>
          <w:tcPr>
            <w:tcW w:w="2826" w:type="dxa"/>
            <w:tcBorders>
              <w:top w:val="single" w:color="auto" w:sz="4" w:space="0"/>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eastAsiaTheme="minorEastAsia"/>
                <w:b/>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color w:val="000000" w:themeColor="text1"/>
                <w:kern w:val="0"/>
                <w:sz w:val="18"/>
                <w:szCs w:val="18"/>
                <w:lang w:val="en-US" w:eastAsia="zh-CN"/>
                <w14:textFill>
                  <w14:solidFill>
                    <w14:schemeClr w14:val="tx1"/>
                  </w14:solidFill>
                </w14:textFill>
              </w:rPr>
              <w:t>29</w:t>
            </w:r>
          </w:p>
        </w:tc>
        <w:tc>
          <w:tcPr>
            <w:tcW w:w="2261" w:type="dxa"/>
            <w:tcBorders>
              <w:top w:val="single" w:color="auto" w:sz="4" w:space="0"/>
              <w:left w:val="single" w:color="auto" w:sz="4" w:space="0"/>
              <w:bottom w:val="nil"/>
              <w:right w:val="nil"/>
            </w:tcBorders>
            <w:vAlign w:val="center"/>
          </w:tcPr>
          <w:p>
            <w:pPr>
              <w:widowControl/>
              <w:spacing w:line="240" w:lineRule="atLeast"/>
              <w:ind w:left="57" w:right="57"/>
              <w:jc w:val="right"/>
              <w:rPr>
                <w:rFonts w:hint="default" w:ascii="Times New Roman" w:hAnsi="Times New Roman" w:cs="Times New Roman" w:eastAsiaTheme="minorEastAsia"/>
                <w:b/>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color w:val="000000" w:themeColor="text1"/>
                <w:kern w:val="0"/>
                <w:sz w:val="18"/>
                <w:szCs w:val="18"/>
                <w:lang w:val="en-US" w:eastAsia="zh-CN"/>
                <w14:textFill>
                  <w14:solidFill>
                    <w14:schemeClr w14:val="tx1"/>
                  </w14:solidFill>
                </w14:textFill>
              </w:rPr>
              <w:t>152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219"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b w:val="0"/>
                <w:bCs/>
                <w:color w:val="000000" w:themeColor="text1"/>
                <w:kern w:val="0"/>
                <w:sz w:val="18"/>
                <w:szCs w:val="18"/>
                <w14:textFill>
                  <w14:solidFill>
                    <w14:schemeClr w14:val="tx1"/>
                  </w14:solidFill>
                </w14:textFill>
              </w:rPr>
            </w:pPr>
            <w:r>
              <w:rPr>
                <w:rFonts w:hint="eastAsia" w:ascii="Times New Roman" w:hAnsi="Times New Roman" w:cs="Times New Roman"/>
                <w:b w:val="0"/>
                <w:bCs/>
                <w:color w:val="000000" w:themeColor="text1"/>
                <w:kern w:val="0"/>
                <w:szCs w:val="21"/>
                <w14:textFill>
                  <w14:solidFill>
                    <w14:schemeClr w14:val="tx1"/>
                  </w14:solidFill>
                </w14:textFill>
              </w:rPr>
              <w:t>内资企业</w:t>
            </w:r>
          </w:p>
        </w:tc>
        <w:tc>
          <w:tcPr>
            <w:tcW w:w="2826"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eastAsiaTheme="minorEastAsia"/>
                <w:b w:val="0"/>
                <w:bCs/>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val="0"/>
                <w:bCs/>
                <w:color w:val="000000" w:themeColor="text1"/>
                <w:kern w:val="0"/>
                <w:sz w:val="18"/>
                <w:szCs w:val="18"/>
                <w:lang w:val="en-US" w:eastAsia="zh-CN"/>
                <w14:textFill>
                  <w14:solidFill>
                    <w14:schemeClr w14:val="tx1"/>
                  </w14:solidFill>
                </w14:textFill>
              </w:rPr>
              <w:t>29</w:t>
            </w:r>
          </w:p>
        </w:tc>
        <w:tc>
          <w:tcPr>
            <w:tcW w:w="2261" w:type="dxa"/>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cs="Times New Roman" w:eastAsiaTheme="minorEastAsia"/>
                <w:b w:val="0"/>
                <w:bCs/>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val="0"/>
                <w:bCs/>
                <w:color w:val="000000" w:themeColor="text1"/>
                <w:kern w:val="0"/>
                <w:sz w:val="18"/>
                <w:szCs w:val="18"/>
                <w:lang w:val="en-US" w:eastAsia="zh-CN"/>
                <w14:textFill>
                  <w14:solidFill>
                    <w14:schemeClr w14:val="tx1"/>
                  </w14:solidFill>
                </w14:textFill>
              </w:rPr>
              <w:t>152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219"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b w:val="0"/>
                <w:bCs/>
                <w:color w:val="000000" w:themeColor="text1"/>
                <w:kern w:val="0"/>
                <w:sz w:val="18"/>
                <w:szCs w:val="18"/>
                <w14:textFill>
                  <w14:solidFill>
                    <w14:schemeClr w14:val="tx1"/>
                  </w14:solidFill>
                </w14:textFill>
              </w:rPr>
            </w:pPr>
            <w:r>
              <w:rPr>
                <w:rFonts w:hint="eastAsia" w:ascii="Times New Roman" w:hAnsi="Times New Roman" w:cs="Times New Roman"/>
                <w:b w:val="0"/>
                <w:bCs/>
                <w:color w:val="000000" w:themeColor="text1"/>
                <w:kern w:val="0"/>
                <w:szCs w:val="21"/>
                <w14:textFill>
                  <w14:solidFill>
                    <w14:schemeClr w14:val="tx1"/>
                  </w14:solidFill>
                </w14:textFill>
              </w:rPr>
              <w:t>港、澳、台商投资企业</w:t>
            </w:r>
          </w:p>
        </w:tc>
        <w:tc>
          <w:tcPr>
            <w:tcW w:w="2826" w:type="dxa"/>
            <w:tcBorders>
              <w:top w:val="nil"/>
              <w:left w:val="single" w:color="auto" w:sz="4" w:space="0"/>
              <w:bottom w:val="nil"/>
              <w:right w:val="single" w:color="auto" w:sz="4" w:space="0"/>
            </w:tcBorders>
            <w:vAlign w:val="center"/>
          </w:tcPr>
          <w:p>
            <w:pPr>
              <w:widowControl/>
              <w:spacing w:line="240" w:lineRule="atLeast"/>
              <w:ind w:left="57" w:right="57"/>
              <w:jc w:val="right"/>
              <w:rPr>
                <w:rFonts w:ascii="Times New Roman" w:hAnsi="Times New Roman" w:cs="Times New Roman"/>
                <w:b w:val="0"/>
                <w:bCs/>
                <w:color w:val="000000" w:themeColor="text1"/>
                <w:kern w:val="0"/>
                <w:sz w:val="18"/>
                <w:szCs w:val="18"/>
                <w14:textFill>
                  <w14:solidFill>
                    <w14:schemeClr w14:val="tx1"/>
                  </w14:solidFill>
                </w14:textFill>
              </w:rPr>
            </w:pPr>
            <w:r>
              <w:rPr>
                <w:rFonts w:hint="eastAsia" w:ascii="Times New Roman" w:hAnsi="Times New Roman" w:cs="Times New Roman"/>
                <w:b w:val="0"/>
                <w:bCs/>
                <w:color w:val="000000" w:themeColor="text1"/>
                <w:kern w:val="0"/>
                <w:sz w:val="18"/>
                <w:szCs w:val="18"/>
                <w14:textFill>
                  <w14:solidFill>
                    <w14:schemeClr w14:val="tx1"/>
                  </w14:solidFill>
                </w14:textFill>
              </w:rPr>
              <w:t>0</w:t>
            </w:r>
          </w:p>
        </w:tc>
        <w:tc>
          <w:tcPr>
            <w:tcW w:w="2261" w:type="dxa"/>
            <w:tcBorders>
              <w:top w:val="nil"/>
              <w:left w:val="single" w:color="auto" w:sz="4" w:space="0"/>
              <w:bottom w:val="nil"/>
              <w:right w:val="nil"/>
            </w:tcBorders>
            <w:vAlign w:val="center"/>
          </w:tcPr>
          <w:p>
            <w:pPr>
              <w:widowControl/>
              <w:spacing w:line="240" w:lineRule="atLeast"/>
              <w:ind w:left="57" w:right="57"/>
              <w:jc w:val="right"/>
              <w:rPr>
                <w:rFonts w:ascii="Times New Roman" w:hAnsi="Times New Roman" w:cs="Times New Roman"/>
                <w:b w:val="0"/>
                <w:bCs/>
                <w:color w:val="000000" w:themeColor="text1"/>
                <w:kern w:val="0"/>
                <w:sz w:val="18"/>
                <w:szCs w:val="18"/>
                <w14:textFill>
                  <w14:solidFill>
                    <w14:schemeClr w14:val="tx1"/>
                  </w14:solidFill>
                </w14:textFill>
              </w:rPr>
            </w:pPr>
            <w:r>
              <w:rPr>
                <w:rFonts w:hint="eastAsia" w:ascii="Times New Roman" w:hAnsi="Times New Roman" w:cs="Times New Roman"/>
                <w:b w:val="0"/>
                <w:bCs/>
                <w:color w:val="000000" w:themeColor="text1"/>
                <w:kern w:val="0"/>
                <w:sz w:val="18"/>
                <w:szCs w:val="18"/>
                <w14:textFill>
                  <w14:solidFill>
                    <w14:schemeClr w14:val="tx1"/>
                  </w14:solidFill>
                </w14:textFill>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219" w:type="dxa"/>
            <w:tcBorders>
              <w:top w:val="nil"/>
              <w:left w:val="nil"/>
              <w:bottom w:val="nil"/>
              <w:right w:val="single" w:color="auto" w:sz="4" w:space="0"/>
            </w:tcBorders>
            <w:vAlign w:val="center"/>
          </w:tcPr>
          <w:p>
            <w:pPr>
              <w:widowControl/>
              <w:spacing w:line="240" w:lineRule="atLeast"/>
              <w:ind w:left="57" w:right="57"/>
              <w:rPr>
                <w:rFonts w:ascii="Times New Roman" w:hAnsi="Times New Roman" w:cs="Times New Roman"/>
                <w:b w:val="0"/>
                <w:bCs/>
                <w:color w:val="000000" w:themeColor="text1"/>
                <w:kern w:val="0"/>
                <w:sz w:val="18"/>
                <w:szCs w:val="18"/>
                <w14:textFill>
                  <w14:solidFill>
                    <w14:schemeClr w14:val="tx1"/>
                  </w14:solidFill>
                </w14:textFill>
              </w:rPr>
            </w:pPr>
            <w:r>
              <w:rPr>
                <w:rFonts w:hint="eastAsia" w:ascii="Times New Roman" w:hAnsi="Times New Roman" w:cs="Times New Roman"/>
                <w:b w:val="0"/>
                <w:bCs/>
                <w:color w:val="000000" w:themeColor="text1"/>
                <w:kern w:val="0"/>
                <w:szCs w:val="21"/>
                <w14:textFill>
                  <w14:solidFill>
                    <w14:schemeClr w14:val="tx1"/>
                  </w14:solidFill>
                </w14:textFill>
              </w:rPr>
              <w:t>外商投资企业</w:t>
            </w:r>
          </w:p>
        </w:tc>
        <w:tc>
          <w:tcPr>
            <w:tcW w:w="2826" w:type="dxa"/>
            <w:tcBorders>
              <w:top w:val="nil"/>
              <w:left w:val="single" w:color="auto" w:sz="4" w:space="0"/>
              <w:bottom w:val="nil"/>
              <w:right w:val="single" w:color="auto" w:sz="4" w:space="0"/>
            </w:tcBorders>
            <w:vAlign w:val="center"/>
          </w:tcPr>
          <w:p>
            <w:pPr>
              <w:widowControl/>
              <w:spacing w:line="240" w:lineRule="atLeast"/>
              <w:ind w:left="57" w:right="57"/>
              <w:jc w:val="right"/>
              <w:rPr>
                <w:rFonts w:ascii="Times New Roman" w:hAnsi="Times New Roman" w:cs="Times New Roman"/>
                <w:b w:val="0"/>
                <w:bCs/>
                <w:color w:val="000000" w:themeColor="text1"/>
                <w:kern w:val="0"/>
                <w:sz w:val="18"/>
                <w:szCs w:val="18"/>
                <w14:textFill>
                  <w14:solidFill>
                    <w14:schemeClr w14:val="tx1"/>
                  </w14:solidFill>
                </w14:textFill>
              </w:rPr>
            </w:pPr>
            <w:r>
              <w:rPr>
                <w:rFonts w:hint="eastAsia" w:ascii="Times New Roman" w:hAnsi="Times New Roman" w:cs="Times New Roman"/>
                <w:b w:val="0"/>
                <w:bCs/>
                <w:color w:val="000000" w:themeColor="text1"/>
                <w:kern w:val="0"/>
                <w:sz w:val="18"/>
                <w:szCs w:val="18"/>
                <w14:textFill>
                  <w14:solidFill>
                    <w14:schemeClr w14:val="tx1"/>
                  </w14:solidFill>
                </w14:textFill>
              </w:rPr>
              <w:t>0</w:t>
            </w:r>
          </w:p>
        </w:tc>
        <w:tc>
          <w:tcPr>
            <w:tcW w:w="2261" w:type="dxa"/>
            <w:tcBorders>
              <w:top w:val="nil"/>
              <w:left w:val="single" w:color="auto" w:sz="4" w:space="0"/>
              <w:bottom w:val="nil"/>
              <w:right w:val="nil"/>
            </w:tcBorders>
            <w:vAlign w:val="center"/>
          </w:tcPr>
          <w:p>
            <w:pPr>
              <w:widowControl/>
              <w:spacing w:line="240" w:lineRule="atLeast"/>
              <w:ind w:left="57" w:right="57"/>
              <w:jc w:val="right"/>
              <w:rPr>
                <w:rFonts w:ascii="Times New Roman" w:hAnsi="Times New Roman" w:cs="Times New Roman"/>
                <w:b w:val="0"/>
                <w:bCs/>
                <w:color w:val="000000" w:themeColor="text1"/>
                <w:kern w:val="0"/>
                <w:sz w:val="18"/>
                <w:szCs w:val="18"/>
                <w14:textFill>
                  <w14:solidFill>
                    <w14:schemeClr w14:val="tx1"/>
                  </w14:solidFill>
                </w14:textFill>
              </w:rPr>
            </w:pPr>
            <w:r>
              <w:rPr>
                <w:rFonts w:hint="eastAsia" w:ascii="Times New Roman" w:hAnsi="Times New Roman" w:cs="Times New Roman"/>
                <w:b w:val="0"/>
                <w:bCs/>
                <w:color w:val="000000" w:themeColor="text1"/>
                <w:kern w:val="0"/>
                <w:sz w:val="18"/>
                <w:szCs w:val="18"/>
                <w14:textFill>
                  <w14:solidFill>
                    <w14:schemeClr w14:val="tx1"/>
                  </w14:solidFill>
                </w14:textFill>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219" w:type="dxa"/>
            <w:tcBorders>
              <w:top w:val="nil"/>
              <w:left w:val="nil"/>
              <w:bottom w:val="single" w:color="auto" w:sz="12" w:space="0"/>
              <w:right w:val="single" w:color="auto" w:sz="4" w:space="0"/>
            </w:tcBorders>
            <w:vAlign w:val="center"/>
          </w:tcPr>
          <w:p>
            <w:pPr>
              <w:widowControl/>
              <w:spacing w:line="240" w:lineRule="atLeast"/>
              <w:ind w:left="57" w:right="57"/>
              <w:rPr>
                <w:rFonts w:hint="eastAsia" w:ascii="Times New Roman" w:hAnsi="Times New Roman" w:cs="Times New Roman" w:eastAsiaTheme="minorEastAsia"/>
                <w:b w:val="0"/>
                <w:bCs/>
                <w:color w:val="000000" w:themeColor="text1"/>
                <w:kern w:val="0"/>
                <w:szCs w:val="21"/>
                <w:lang w:eastAsia="zh-CN"/>
                <w14:textFill>
                  <w14:solidFill>
                    <w14:schemeClr w14:val="tx1"/>
                  </w14:solidFill>
                </w14:textFill>
              </w:rPr>
            </w:pPr>
            <w:r>
              <w:rPr>
                <w:rFonts w:hint="eastAsia" w:ascii="Times New Roman" w:hAnsi="Times New Roman" w:cs="Times New Roman"/>
                <w:b w:val="0"/>
                <w:bCs/>
                <w:color w:val="000000" w:themeColor="text1"/>
                <w:kern w:val="0"/>
                <w:szCs w:val="21"/>
                <w:lang w:eastAsia="zh-CN"/>
                <w14:textFill>
                  <w14:solidFill>
                    <w14:schemeClr w14:val="tx1"/>
                  </w14:solidFill>
                </w14:textFill>
              </w:rPr>
              <w:t>其他统计类别</w:t>
            </w:r>
          </w:p>
        </w:tc>
        <w:tc>
          <w:tcPr>
            <w:tcW w:w="2826" w:type="dxa"/>
            <w:tcBorders>
              <w:top w:val="nil"/>
              <w:left w:val="single" w:color="auto" w:sz="4" w:space="0"/>
              <w:bottom w:val="single" w:color="auto" w:sz="12" w:space="0"/>
              <w:right w:val="single" w:color="auto" w:sz="4" w:space="0"/>
            </w:tcBorders>
            <w:vAlign w:val="center"/>
          </w:tcPr>
          <w:p>
            <w:pPr>
              <w:widowControl/>
              <w:spacing w:line="240" w:lineRule="atLeast"/>
              <w:ind w:left="57" w:right="57"/>
              <w:jc w:val="right"/>
              <w:rPr>
                <w:rFonts w:hint="eastAsia" w:ascii="Times New Roman" w:hAnsi="Times New Roman" w:cs="Times New Roman" w:eastAsiaTheme="minorEastAsia"/>
                <w:b w:val="0"/>
                <w:bCs/>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val="0"/>
                <w:bCs/>
                <w:color w:val="000000" w:themeColor="text1"/>
                <w:kern w:val="0"/>
                <w:sz w:val="18"/>
                <w:szCs w:val="18"/>
                <w:lang w:val="en-US" w:eastAsia="zh-CN"/>
                <w14:textFill>
                  <w14:solidFill>
                    <w14:schemeClr w14:val="tx1"/>
                  </w14:solidFill>
                </w14:textFill>
              </w:rPr>
              <w:t>0</w:t>
            </w:r>
          </w:p>
        </w:tc>
        <w:tc>
          <w:tcPr>
            <w:tcW w:w="2261" w:type="dxa"/>
            <w:tcBorders>
              <w:top w:val="nil"/>
              <w:left w:val="single" w:color="auto" w:sz="4" w:space="0"/>
              <w:bottom w:val="single" w:color="auto" w:sz="12" w:space="0"/>
              <w:right w:val="nil"/>
            </w:tcBorders>
            <w:vAlign w:val="center"/>
          </w:tcPr>
          <w:p>
            <w:pPr>
              <w:widowControl/>
              <w:spacing w:line="240" w:lineRule="atLeast"/>
              <w:ind w:left="57" w:right="57"/>
              <w:jc w:val="right"/>
              <w:rPr>
                <w:rFonts w:hint="eastAsia" w:ascii="Times New Roman" w:hAnsi="Times New Roman" w:cs="Times New Roman" w:eastAsiaTheme="minorEastAsia"/>
                <w:b w:val="0"/>
                <w:bCs/>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val="0"/>
                <w:bCs/>
                <w:color w:val="000000" w:themeColor="text1"/>
                <w:kern w:val="0"/>
                <w:sz w:val="18"/>
                <w:szCs w:val="18"/>
                <w:lang w:val="en-US" w:eastAsia="zh-CN"/>
                <w14:textFill>
                  <w14:solidFill>
                    <w14:schemeClr w14:val="tx1"/>
                  </w14:solidFill>
                </w14:textFill>
              </w:rPr>
              <w:t>0</w:t>
            </w:r>
          </w:p>
        </w:tc>
      </w:tr>
    </w:tbl>
    <w:p>
      <w:pPr>
        <w:keepNext w:val="0"/>
        <w:keepLines w:val="0"/>
        <w:pageBreakBefore w:val="0"/>
        <w:widowControl/>
        <w:numPr>
          <w:ilvl w:val="0"/>
          <w:numId w:val="2"/>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主要经济</w:t>
      </w:r>
      <w:r>
        <w:rPr>
          <w:rFonts w:ascii="Times New Roman" w:hAnsi="Times New Roman" w:eastAsia="方正仿宋_GBK" w:cs="Times New Roman"/>
          <w:color w:val="000000" w:themeColor="text1"/>
          <w:kern w:val="0"/>
          <w:sz w:val="32"/>
          <w:szCs w:val="32"/>
          <w14:textFill>
            <w14:solidFill>
              <w14:schemeClr w14:val="tx1"/>
            </w14:solidFill>
          </w14:textFill>
        </w:rPr>
        <w:t>指标</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2023</w:t>
      </w:r>
      <w:r>
        <w:rPr>
          <w:rFonts w:hint="eastAsia" w:ascii="Times New Roman" w:hAnsi="Times New Roman" w:eastAsia="方正仿宋_GBK" w:cs="Times New Roman"/>
          <w:color w:val="000000" w:themeColor="text1"/>
          <w:kern w:val="0"/>
          <w:sz w:val="32"/>
          <w:szCs w:val="32"/>
          <w14:textFill>
            <w14:solidFill>
              <w14:schemeClr w14:val="tx1"/>
            </w14:solidFill>
          </w14:textFill>
        </w:rPr>
        <w:t>年末，居民服务、修理和其他服务业企业法人单位资产总计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3423.4</w:t>
      </w:r>
      <w:r>
        <w:rPr>
          <w:rFonts w:hint="eastAsia" w:ascii="Times New Roman" w:hAnsi="Times New Roman" w:eastAsia="方正仿宋_GBK" w:cs="Times New Roman"/>
          <w:color w:val="000000" w:themeColor="text1"/>
          <w:sz w:val="32"/>
          <w:szCs w:val="32"/>
          <w14:textFill>
            <w14:solidFill>
              <w14:schemeClr w14:val="tx1"/>
            </w14:solidFill>
          </w14:textFill>
        </w:rPr>
        <w:t>万</w:t>
      </w:r>
      <w:r>
        <w:rPr>
          <w:rFonts w:hint="eastAsia" w:ascii="Times New Roman" w:hAnsi="Times New Roman" w:eastAsia="方正仿宋_GBK" w:cs="Times New Roman"/>
          <w:color w:val="000000" w:themeColor="text1"/>
          <w:kern w:val="0"/>
          <w:sz w:val="32"/>
          <w:szCs w:val="32"/>
          <w14:textFill>
            <w14:solidFill>
              <w14:schemeClr w14:val="tx1"/>
            </w14:solidFill>
          </w14:textFill>
        </w:rPr>
        <w:t>元，比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w:t>
      </w:r>
      <w:r>
        <w:rPr>
          <w:rFonts w:hint="eastAsia" w:ascii="Times New Roman" w:hAnsi="Times New Roman" w:eastAsia="方正仿宋_GBK" w:cs="Times New Roman"/>
          <w:color w:val="000000" w:themeColor="text1"/>
          <w:kern w:val="0"/>
          <w:sz w:val="32"/>
          <w:szCs w:val="32"/>
          <w14:textFill>
            <w14:solidFill>
              <w14:schemeClr w14:val="tx1"/>
            </w14:solidFill>
          </w14:textFill>
        </w:rPr>
        <w:t>年末增长</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150.0%；</w:t>
      </w:r>
      <w:r>
        <w:rPr>
          <w:rFonts w:hint="eastAsia" w:ascii="Times New Roman" w:hAnsi="Times New Roman" w:eastAsia="方正仿宋_GBK" w:cs="Times New Roman"/>
          <w:color w:val="000000" w:themeColor="text1"/>
          <w:kern w:val="0"/>
          <w:sz w:val="32"/>
          <w:szCs w:val="32"/>
          <w14:textFill>
            <w14:solidFill>
              <w14:schemeClr w14:val="tx1"/>
            </w14:solidFill>
          </w14:textFill>
        </w:rPr>
        <w:t>负债</w:t>
      </w:r>
      <w:r>
        <w:rPr>
          <w:rFonts w:ascii="Times New Roman" w:hAnsi="Times New Roman" w:eastAsia="方正仿宋_GBK" w:cs="Times New Roman"/>
          <w:color w:val="000000" w:themeColor="text1"/>
          <w:kern w:val="0"/>
          <w:sz w:val="32"/>
          <w:szCs w:val="32"/>
          <w14:textFill>
            <w14:solidFill>
              <w14:schemeClr w14:val="tx1"/>
            </w14:solidFill>
          </w14:textFill>
        </w:rPr>
        <w:t>合计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1373.5</w:t>
      </w:r>
      <w:r>
        <w:rPr>
          <w:rFonts w:hint="eastAsia" w:ascii="Times New Roman" w:hAnsi="Times New Roman" w:eastAsia="方正仿宋_GBK" w:cs="Times New Roman"/>
          <w:color w:val="000000" w:themeColor="text1"/>
          <w:sz w:val="32"/>
          <w:szCs w:val="32"/>
          <w14:textFill>
            <w14:solidFill>
              <w14:schemeClr w14:val="tx1"/>
            </w14:solidFill>
          </w14:textFill>
        </w:rPr>
        <w:t>万</w:t>
      </w:r>
      <w:r>
        <w:rPr>
          <w:rFonts w:ascii="Times New Roman" w:hAnsi="Times New Roman" w:eastAsia="方正仿宋_GBK" w:cs="Times New Roman"/>
          <w:color w:val="000000" w:themeColor="text1"/>
          <w:kern w:val="0"/>
          <w:sz w:val="32"/>
          <w:szCs w:val="32"/>
          <w14:textFill>
            <w14:solidFill>
              <w14:schemeClr w14:val="tx1"/>
            </w14:solidFill>
          </w14:textFill>
        </w:rPr>
        <w:t>元</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2018年末增长12.3倍。</w:t>
      </w:r>
      <w:r>
        <w:rPr>
          <w:rFonts w:hint="eastAsia" w:ascii="Times New Roman" w:hAnsi="Times New Roman" w:eastAsia="方正仿宋_GBK" w:cs="Times New Roman"/>
          <w:color w:val="000000" w:themeColor="text1"/>
          <w:kern w:val="0"/>
          <w:sz w:val="32"/>
          <w:szCs w:val="32"/>
          <w14:textFill>
            <w14:solidFill>
              <w14:schemeClr w14:val="tx1"/>
            </w14:solidFill>
          </w14:textFill>
        </w:rPr>
        <w:t>全年</w:t>
      </w:r>
      <w:r>
        <w:rPr>
          <w:rFonts w:ascii="Times New Roman" w:hAnsi="Times New Roman" w:eastAsia="方正仿宋_GBK" w:cs="Times New Roman"/>
          <w:color w:val="000000" w:themeColor="text1"/>
          <w:kern w:val="0"/>
          <w:sz w:val="32"/>
          <w:szCs w:val="32"/>
          <w14:textFill>
            <w14:solidFill>
              <w14:schemeClr w14:val="tx1"/>
            </w14:solidFill>
          </w14:textFill>
        </w:rPr>
        <w:t>实现营业收入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1451.8</w:t>
      </w:r>
      <w:r>
        <w:rPr>
          <w:rFonts w:hint="eastAsia" w:ascii="Times New Roman" w:hAnsi="Times New Roman" w:eastAsia="方正仿宋_GBK" w:cs="Times New Roman"/>
          <w:color w:val="000000" w:themeColor="text1"/>
          <w:sz w:val="32"/>
          <w:szCs w:val="32"/>
          <w14:textFill>
            <w14:solidFill>
              <w14:schemeClr w14:val="tx1"/>
            </w14:solidFill>
          </w14:textFill>
        </w:rPr>
        <w:t>万</w:t>
      </w:r>
      <w:r>
        <w:rPr>
          <w:rFonts w:ascii="Times New Roman" w:hAnsi="Times New Roman" w:eastAsia="方正仿宋_GBK" w:cs="Times New Roman"/>
          <w:color w:val="000000" w:themeColor="text1"/>
          <w:kern w:val="0"/>
          <w:sz w:val="32"/>
          <w:szCs w:val="32"/>
          <w14:textFill>
            <w14:solidFill>
              <w14:schemeClr w14:val="tx1"/>
            </w14:solidFill>
          </w14:textFill>
        </w:rPr>
        <w:t>元</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2018年增长85.6%</w:t>
      </w:r>
      <w:r>
        <w:rPr>
          <w:rFonts w:hint="eastAsia" w:ascii="Times New Roman" w:hAnsi="Times New Roman" w:eastAsia="方正仿宋_GBK" w:cs="Times New Roman"/>
          <w:color w:val="000000" w:themeColor="text1"/>
          <w:kern w:val="0"/>
          <w:sz w:val="32"/>
          <w:szCs w:val="32"/>
          <w14:textFill>
            <w14:solidFill>
              <w14:schemeClr w14:val="tx1"/>
            </w14:solidFill>
          </w14:textFill>
        </w:rPr>
        <w:t>（详见表</w:t>
      </w:r>
      <w:r>
        <w:rPr>
          <w:rFonts w:ascii="Times New Roman" w:hAnsi="Times New Roman" w:eastAsia="方正仿宋_GBK" w:cs="Times New Roman"/>
          <w:color w:val="000000" w:themeColor="text1"/>
          <w:kern w:val="0"/>
          <w:sz w:val="32"/>
          <w:szCs w:val="32"/>
          <w14:textFill>
            <w14:solidFill>
              <w14:schemeClr w14:val="tx1"/>
            </w14:solidFill>
          </w14:textFill>
        </w:rPr>
        <w:t>5-6</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p>
    <w:tbl>
      <w:tblPr>
        <w:tblStyle w:val="8"/>
        <w:tblW w:w="873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917"/>
        <w:gridCol w:w="1540"/>
        <w:gridCol w:w="1540"/>
        <w:gridCol w:w="173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850" w:hRule="atLeast"/>
          <w:jc w:val="center"/>
        </w:trPr>
        <w:tc>
          <w:tcPr>
            <w:tcW w:w="8731" w:type="dxa"/>
            <w:gridSpan w:val="4"/>
            <w:tcBorders>
              <w:top w:val="nil"/>
              <w:left w:val="nil"/>
              <w:bottom w:val="single" w:color="auto" w:sz="12" w:space="0"/>
              <w:right w:val="nil"/>
            </w:tcBorders>
            <w:shd w:val="clear" w:color="auto" w:fill="FFFFFF"/>
            <w:vAlign w:val="center"/>
          </w:tcPr>
          <w:p>
            <w:pPr>
              <w:widowControl/>
              <w:spacing w:line="320" w:lineRule="atLeast"/>
              <w:ind w:left="57" w:right="57"/>
              <w:jc w:val="center"/>
              <w:rPr>
                <w:rFonts w:ascii="Times New Roman" w:hAnsi="Times New Roman" w:cs="Times New Roman"/>
                <w:b/>
                <w:bCs/>
                <w:color w:val="000000" w:themeColor="text1"/>
                <w:kern w:val="0"/>
                <w:sz w:val="24"/>
                <w14:textFill>
                  <w14:solidFill>
                    <w14:schemeClr w14:val="tx1"/>
                  </w14:solidFill>
                </w14:textFill>
              </w:rPr>
            </w:pPr>
            <w:r>
              <w:rPr>
                <w:rFonts w:hint="eastAsia" w:ascii="Times New Roman" w:hAnsi="Times New Roman" w:cs="Times New Roman"/>
                <w:b/>
                <w:bCs/>
                <w:color w:val="000000" w:themeColor="text1"/>
                <w:kern w:val="0"/>
                <w:sz w:val="24"/>
                <w14:textFill>
                  <w14:solidFill>
                    <w14:schemeClr w14:val="tx1"/>
                  </w14:solidFill>
                </w14:textFill>
              </w:rPr>
              <w:t>表</w:t>
            </w:r>
            <w:r>
              <w:rPr>
                <w:rFonts w:ascii="Times New Roman" w:hAnsi="Times New Roman" w:cs="Times New Roman"/>
                <w:b/>
                <w:bCs/>
                <w:color w:val="000000" w:themeColor="text1"/>
                <w:kern w:val="0"/>
                <w:sz w:val="24"/>
                <w14:textFill>
                  <w14:solidFill>
                    <w14:schemeClr w14:val="tx1"/>
                  </w14:solidFill>
                </w14:textFill>
              </w:rPr>
              <w:t>5-6</w:t>
            </w:r>
            <w:r>
              <w:rPr>
                <w:rFonts w:hint="eastAsia" w:ascii="Times New Roman" w:hAnsi="Times New Roman" w:cs="Times New Roman"/>
                <w:b/>
                <w:bCs/>
                <w:color w:val="000000" w:themeColor="text1"/>
                <w:kern w:val="0"/>
                <w:sz w:val="24"/>
                <w14:textFill>
                  <w14:solidFill>
                    <w14:schemeClr w14:val="tx1"/>
                  </w14:solidFill>
                </w14:textFill>
              </w:rPr>
              <w:t>　按行业大类分组的居民服务、修理和其他服务业</w:t>
            </w:r>
          </w:p>
          <w:p>
            <w:pPr>
              <w:widowControl/>
              <w:spacing w:line="320" w:lineRule="atLeast"/>
              <w:ind w:left="57" w:right="57"/>
              <w:jc w:val="center"/>
              <w:rPr>
                <w:rFonts w:ascii="Times New Roman" w:hAnsi="Times New Roman" w:cs="Times New Roman"/>
                <w:b/>
                <w:bCs/>
                <w:color w:val="000000" w:themeColor="text1"/>
                <w:kern w:val="0"/>
                <w:sz w:val="24"/>
                <w14:textFill>
                  <w14:solidFill>
                    <w14:schemeClr w14:val="tx1"/>
                  </w14:solidFill>
                </w14:textFill>
              </w:rPr>
            </w:pPr>
            <w:r>
              <w:rPr>
                <w:rFonts w:hint="eastAsia" w:ascii="Times New Roman" w:hAnsi="Times New Roman" w:cs="Times New Roman"/>
                <w:b/>
                <w:bCs/>
                <w:color w:val="000000" w:themeColor="text1"/>
                <w:kern w:val="0"/>
                <w:sz w:val="24"/>
                <w14:textFill>
                  <w14:solidFill>
                    <w14:schemeClr w14:val="tx1"/>
                  </w14:solidFill>
                </w14:textFill>
              </w:rPr>
              <w:t>企业法人单位主要经济</w:t>
            </w:r>
            <w:r>
              <w:rPr>
                <w:rFonts w:ascii="Times New Roman" w:hAnsi="Times New Roman" w:cs="Times New Roman"/>
                <w:b/>
                <w:bCs/>
                <w:color w:val="000000" w:themeColor="text1"/>
                <w:kern w:val="0"/>
                <w:sz w:val="24"/>
                <w14:textFill>
                  <w14:solidFill>
                    <w14:schemeClr w14:val="tx1"/>
                  </w14:solidFill>
                </w14:textFill>
              </w:rPr>
              <w:t>指标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567" w:hRule="atLeast"/>
          <w:jc w:val="center"/>
        </w:trPr>
        <w:tc>
          <w:tcPr>
            <w:tcW w:w="3917" w:type="dxa"/>
            <w:tcBorders>
              <w:top w:val="nil"/>
              <w:left w:val="nil"/>
              <w:bottom w:val="single" w:color="auto" w:sz="4" w:space="0"/>
              <w:right w:val="single" w:color="auto" w:sz="4" w:space="0"/>
            </w:tcBorders>
            <w:vAlign w:val="center"/>
          </w:tcPr>
          <w:p>
            <w:pPr>
              <w:widowControl/>
              <w:spacing w:line="240" w:lineRule="atLeast"/>
              <w:ind w:left="57" w:right="57" w:firstLine="500"/>
              <w:jc w:val="center"/>
              <w:rPr>
                <w:rFonts w:ascii="Times New Roman" w:hAnsi="Times New Roman" w:cs="Times New Roman"/>
                <w:b/>
                <w:color w:val="000000" w:themeColor="text1"/>
                <w:kern w:val="0"/>
                <w:sz w:val="18"/>
                <w:szCs w:val="18"/>
                <w14:textFill>
                  <w14:solidFill>
                    <w14:schemeClr w14:val="tx1"/>
                  </w14:solidFill>
                </w14:textFill>
              </w:rPr>
            </w:pPr>
            <w:r>
              <w:rPr>
                <w:rFonts w:hint="eastAsia" w:ascii="Times New Roman" w:hAnsi="Times New Roman" w:cs="Times New Roman"/>
                <w:b/>
                <w:color w:val="000000" w:themeColor="text1"/>
                <w:kern w:val="0"/>
                <w:szCs w:val="21"/>
                <w14:textFill>
                  <w14:solidFill>
                    <w14:schemeClr w14:val="tx1"/>
                  </w14:solidFill>
                </w14:textFill>
              </w:rPr>
              <w:t>　</w:t>
            </w:r>
          </w:p>
        </w:tc>
        <w:tc>
          <w:tcPr>
            <w:tcW w:w="1540"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000000" w:themeColor="text1"/>
                <w:kern w:val="0"/>
                <w:szCs w:val="21"/>
                <w14:textFill>
                  <w14:solidFill>
                    <w14:schemeClr w14:val="tx1"/>
                  </w14:solidFill>
                </w14:textFill>
              </w:rPr>
            </w:pPr>
            <w:r>
              <w:rPr>
                <w:rFonts w:hint="eastAsia" w:ascii="Times New Roman" w:hAnsi="Times New Roman" w:cs="Times New Roman"/>
                <w:b/>
                <w:color w:val="000000" w:themeColor="text1"/>
                <w:kern w:val="0"/>
                <w:szCs w:val="21"/>
                <w14:textFill>
                  <w14:solidFill>
                    <w14:schemeClr w14:val="tx1"/>
                  </w14:solidFill>
                </w14:textFill>
              </w:rPr>
              <w:t>资产</w:t>
            </w:r>
            <w:r>
              <w:rPr>
                <w:rFonts w:ascii="Times New Roman" w:hAnsi="Times New Roman" w:cs="Times New Roman"/>
                <w:b/>
                <w:color w:val="000000" w:themeColor="text1"/>
                <w:kern w:val="0"/>
                <w:szCs w:val="21"/>
                <w14:textFill>
                  <w14:solidFill>
                    <w14:schemeClr w14:val="tx1"/>
                  </w14:solidFill>
                </w14:textFill>
              </w:rPr>
              <w:t>总计</w:t>
            </w:r>
          </w:p>
          <w:p>
            <w:pPr>
              <w:widowControl/>
              <w:spacing w:line="240" w:lineRule="atLeast"/>
              <w:ind w:left="57" w:right="57"/>
              <w:jc w:val="center"/>
              <w:rPr>
                <w:rFonts w:ascii="Times New Roman" w:hAnsi="Times New Roman" w:cs="Times New Roman"/>
                <w:b/>
                <w:color w:val="000000" w:themeColor="text1"/>
                <w:kern w:val="0"/>
                <w:szCs w:val="21"/>
                <w14:textFill>
                  <w14:solidFill>
                    <w14:schemeClr w14:val="tx1"/>
                  </w14:solidFill>
                </w14:textFill>
              </w:rPr>
            </w:pPr>
            <w:r>
              <w:rPr>
                <w:rFonts w:ascii="Times New Roman" w:hAnsi="Times New Roman" w:cs="Times New Roman"/>
                <w:b/>
                <w:color w:val="000000" w:themeColor="text1"/>
                <w:kern w:val="0"/>
                <w:szCs w:val="21"/>
                <w14:textFill>
                  <w14:solidFill>
                    <w14:schemeClr w14:val="tx1"/>
                  </w14:solidFill>
                </w14:textFill>
              </w:rPr>
              <w:t>（</w:t>
            </w:r>
            <w:r>
              <w:rPr>
                <w:rFonts w:hint="eastAsia" w:ascii="Times New Roman" w:hAnsi="Times New Roman" w:cs="Times New Roman"/>
                <w:b/>
                <w:color w:val="000000" w:themeColor="text1"/>
                <w:kern w:val="0"/>
                <w:szCs w:val="21"/>
                <w14:textFill>
                  <w14:solidFill>
                    <w14:schemeClr w14:val="tx1"/>
                  </w14:solidFill>
                </w14:textFill>
              </w:rPr>
              <w:t>万元</w:t>
            </w:r>
            <w:r>
              <w:rPr>
                <w:rFonts w:ascii="Times New Roman" w:hAnsi="Times New Roman" w:cs="Times New Roman"/>
                <w:b/>
                <w:color w:val="000000" w:themeColor="text1"/>
                <w:kern w:val="0"/>
                <w:szCs w:val="21"/>
                <w14:textFill>
                  <w14:solidFill>
                    <w14:schemeClr w14:val="tx1"/>
                  </w14:solidFill>
                </w14:textFill>
              </w:rPr>
              <w:t>）</w:t>
            </w:r>
          </w:p>
        </w:tc>
        <w:tc>
          <w:tcPr>
            <w:tcW w:w="1540" w:type="dxa"/>
            <w:tcBorders>
              <w:top w:val="nil"/>
              <w:left w:val="single" w:color="auto" w:sz="4" w:space="0"/>
              <w:bottom w:val="single" w:color="auto" w:sz="4" w:space="0"/>
              <w:right w:val="single" w:color="auto" w:sz="4" w:space="0"/>
            </w:tcBorders>
            <w:vAlign w:val="center"/>
          </w:tcPr>
          <w:p>
            <w:pPr>
              <w:widowControl/>
              <w:spacing w:line="240" w:lineRule="atLeast"/>
              <w:ind w:left="57" w:right="57"/>
              <w:jc w:val="center"/>
              <w:rPr>
                <w:rFonts w:ascii="Times New Roman" w:hAnsi="Times New Roman" w:cs="Times New Roman"/>
                <w:b/>
                <w:color w:val="000000" w:themeColor="text1"/>
                <w:kern w:val="0"/>
                <w:szCs w:val="21"/>
                <w14:textFill>
                  <w14:solidFill>
                    <w14:schemeClr w14:val="tx1"/>
                  </w14:solidFill>
                </w14:textFill>
              </w:rPr>
            </w:pPr>
            <w:r>
              <w:rPr>
                <w:rFonts w:hint="eastAsia" w:ascii="Times New Roman" w:hAnsi="Times New Roman" w:cs="Times New Roman"/>
                <w:b/>
                <w:color w:val="000000" w:themeColor="text1"/>
                <w:kern w:val="0"/>
                <w:szCs w:val="21"/>
                <w14:textFill>
                  <w14:solidFill>
                    <w14:schemeClr w14:val="tx1"/>
                  </w14:solidFill>
                </w14:textFill>
              </w:rPr>
              <w:t>负债合计</w:t>
            </w:r>
          </w:p>
          <w:p>
            <w:pPr>
              <w:widowControl/>
              <w:spacing w:line="240" w:lineRule="atLeast"/>
              <w:ind w:left="57" w:right="57"/>
              <w:jc w:val="center"/>
              <w:rPr>
                <w:rFonts w:ascii="Times New Roman" w:hAnsi="Times New Roman" w:cs="Times New Roman"/>
                <w:b/>
                <w:color w:val="000000" w:themeColor="text1"/>
                <w:kern w:val="0"/>
                <w:szCs w:val="21"/>
                <w14:textFill>
                  <w14:solidFill>
                    <w14:schemeClr w14:val="tx1"/>
                  </w14:solidFill>
                </w14:textFill>
              </w:rPr>
            </w:pPr>
            <w:r>
              <w:rPr>
                <w:rFonts w:ascii="Times New Roman" w:hAnsi="Times New Roman" w:cs="Times New Roman"/>
                <w:b/>
                <w:color w:val="000000" w:themeColor="text1"/>
                <w:kern w:val="0"/>
                <w:szCs w:val="21"/>
                <w14:textFill>
                  <w14:solidFill>
                    <w14:schemeClr w14:val="tx1"/>
                  </w14:solidFill>
                </w14:textFill>
              </w:rPr>
              <w:t>（</w:t>
            </w:r>
            <w:r>
              <w:rPr>
                <w:rFonts w:hint="eastAsia" w:ascii="Times New Roman" w:hAnsi="Times New Roman" w:cs="Times New Roman"/>
                <w:b/>
                <w:color w:val="000000" w:themeColor="text1"/>
                <w:kern w:val="0"/>
                <w:szCs w:val="21"/>
                <w14:textFill>
                  <w14:solidFill>
                    <w14:schemeClr w14:val="tx1"/>
                  </w14:solidFill>
                </w14:textFill>
              </w:rPr>
              <w:t>万元</w:t>
            </w:r>
            <w:r>
              <w:rPr>
                <w:rFonts w:ascii="Times New Roman" w:hAnsi="Times New Roman" w:cs="Times New Roman"/>
                <w:b/>
                <w:color w:val="000000" w:themeColor="text1"/>
                <w:kern w:val="0"/>
                <w:szCs w:val="21"/>
                <w14:textFill>
                  <w14:solidFill>
                    <w14:schemeClr w14:val="tx1"/>
                  </w14:solidFill>
                </w14:textFill>
              </w:rPr>
              <w:t>）</w:t>
            </w:r>
          </w:p>
        </w:tc>
        <w:tc>
          <w:tcPr>
            <w:tcW w:w="1734" w:type="dxa"/>
            <w:tcBorders>
              <w:top w:val="nil"/>
              <w:left w:val="single" w:color="auto" w:sz="4" w:space="0"/>
              <w:bottom w:val="single" w:color="auto" w:sz="4" w:space="0"/>
              <w:right w:val="nil"/>
            </w:tcBorders>
            <w:vAlign w:val="center"/>
          </w:tcPr>
          <w:p>
            <w:pPr>
              <w:widowControl/>
              <w:spacing w:line="240" w:lineRule="atLeast"/>
              <w:ind w:left="57" w:right="57"/>
              <w:jc w:val="center"/>
              <w:rPr>
                <w:rFonts w:ascii="Times New Roman" w:hAnsi="Times New Roman" w:cs="Times New Roman"/>
                <w:b/>
                <w:color w:val="000000" w:themeColor="text1"/>
                <w:kern w:val="0"/>
                <w:szCs w:val="21"/>
                <w14:textFill>
                  <w14:solidFill>
                    <w14:schemeClr w14:val="tx1"/>
                  </w14:solidFill>
                </w14:textFill>
              </w:rPr>
            </w:pPr>
            <w:r>
              <w:rPr>
                <w:rFonts w:hint="eastAsia" w:ascii="Times New Roman" w:hAnsi="Times New Roman" w:cs="Times New Roman"/>
                <w:b/>
                <w:color w:val="000000" w:themeColor="text1"/>
                <w:kern w:val="0"/>
                <w:szCs w:val="21"/>
                <w14:textFill>
                  <w14:solidFill>
                    <w14:schemeClr w14:val="tx1"/>
                  </w14:solidFill>
                </w14:textFill>
              </w:rPr>
              <w:t>营业收入</w:t>
            </w:r>
          </w:p>
          <w:p>
            <w:pPr>
              <w:widowControl/>
              <w:spacing w:line="240" w:lineRule="atLeast"/>
              <w:ind w:left="57" w:right="57"/>
              <w:jc w:val="center"/>
              <w:rPr>
                <w:rFonts w:ascii="Times New Roman" w:hAnsi="Times New Roman" w:cs="Times New Roman"/>
                <w:b/>
                <w:color w:val="000000" w:themeColor="text1"/>
                <w:kern w:val="0"/>
                <w:sz w:val="18"/>
                <w:szCs w:val="18"/>
                <w14:textFill>
                  <w14:solidFill>
                    <w14:schemeClr w14:val="tx1"/>
                  </w14:solidFill>
                </w14:textFill>
              </w:rPr>
            </w:pPr>
            <w:r>
              <w:rPr>
                <w:rFonts w:hint="eastAsia" w:ascii="Times New Roman" w:hAnsi="Times New Roman" w:cs="Times New Roman"/>
                <w:b/>
                <w:color w:val="000000" w:themeColor="text1"/>
                <w:kern w:val="0"/>
                <w:szCs w:val="21"/>
                <w14:textFill>
                  <w14:solidFill>
                    <w14:schemeClr w14:val="tx1"/>
                  </w14:solidFill>
                </w14:textFill>
              </w:rPr>
              <w:t>（万元）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917" w:type="dxa"/>
            <w:tcBorders>
              <w:top w:val="single" w:color="auto" w:sz="4" w:space="0"/>
              <w:left w:val="nil"/>
              <w:bottom w:val="nil"/>
              <w:right w:val="single" w:color="auto" w:sz="4" w:space="0"/>
            </w:tcBorders>
            <w:vAlign w:val="center"/>
          </w:tcPr>
          <w:p>
            <w:pPr>
              <w:widowControl/>
              <w:spacing w:line="240" w:lineRule="atLeast"/>
              <w:ind w:left="57" w:right="57"/>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b/>
                <w:bCs/>
                <w:color w:val="000000" w:themeColor="text1"/>
                <w:kern w:val="0"/>
                <w:szCs w:val="21"/>
                <w14:textFill>
                  <w14:solidFill>
                    <w14:schemeClr w14:val="tx1"/>
                  </w14:solidFill>
                </w14:textFill>
              </w:rPr>
              <w:t>合　计</w:t>
            </w:r>
          </w:p>
        </w:tc>
        <w:tc>
          <w:tcPr>
            <w:tcW w:w="1540" w:type="dxa"/>
            <w:tcBorders>
              <w:top w:val="single" w:color="auto" w:sz="4" w:space="0"/>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eastAsiaTheme="minorEastAsia"/>
                <w:b/>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color w:val="000000" w:themeColor="text1"/>
                <w:kern w:val="0"/>
                <w:sz w:val="18"/>
                <w:szCs w:val="18"/>
                <w:lang w:val="en-US" w:eastAsia="zh-CN"/>
                <w14:textFill>
                  <w14:solidFill>
                    <w14:schemeClr w14:val="tx1"/>
                  </w14:solidFill>
                </w14:textFill>
              </w:rPr>
              <w:t>3423.4</w:t>
            </w:r>
          </w:p>
        </w:tc>
        <w:tc>
          <w:tcPr>
            <w:tcW w:w="1540" w:type="dxa"/>
            <w:tcBorders>
              <w:top w:val="single" w:color="auto" w:sz="4" w:space="0"/>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eastAsiaTheme="minorEastAsia"/>
                <w:b/>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color w:val="000000" w:themeColor="text1"/>
                <w:kern w:val="0"/>
                <w:sz w:val="18"/>
                <w:szCs w:val="18"/>
                <w:lang w:val="en-US" w:eastAsia="zh-CN"/>
                <w14:textFill>
                  <w14:solidFill>
                    <w14:schemeClr w14:val="tx1"/>
                  </w14:solidFill>
                </w14:textFill>
              </w:rPr>
              <w:t>1373.5</w:t>
            </w:r>
          </w:p>
        </w:tc>
        <w:tc>
          <w:tcPr>
            <w:tcW w:w="1734" w:type="dxa"/>
            <w:tcBorders>
              <w:top w:val="single" w:color="auto" w:sz="4" w:space="0"/>
              <w:left w:val="single" w:color="auto" w:sz="4" w:space="0"/>
              <w:bottom w:val="nil"/>
              <w:right w:val="nil"/>
            </w:tcBorders>
            <w:vAlign w:val="center"/>
          </w:tcPr>
          <w:p>
            <w:pPr>
              <w:widowControl/>
              <w:spacing w:line="240" w:lineRule="atLeast"/>
              <w:ind w:left="57" w:right="57"/>
              <w:jc w:val="right"/>
              <w:rPr>
                <w:rFonts w:hint="default" w:ascii="Times New Roman" w:hAnsi="Times New Roman" w:cs="Times New Roman" w:eastAsiaTheme="minorEastAsia"/>
                <w:b/>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color w:val="000000" w:themeColor="text1"/>
                <w:kern w:val="0"/>
                <w:sz w:val="18"/>
                <w:szCs w:val="18"/>
                <w:lang w:val="en-US" w:eastAsia="zh-CN"/>
                <w14:textFill>
                  <w14:solidFill>
                    <w14:schemeClr w14:val="tx1"/>
                  </w14:solidFill>
                </w14:textFill>
              </w:rPr>
              <w:t>1451.8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917" w:type="dxa"/>
            <w:tcBorders>
              <w:top w:val="nil"/>
              <w:left w:val="nil"/>
              <w:bottom w:val="nil"/>
              <w:right w:val="single" w:color="auto" w:sz="4" w:space="0"/>
            </w:tcBorders>
            <w:vAlign w:val="center"/>
          </w:tcPr>
          <w:p>
            <w:pP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　居民服务业</w:t>
            </w:r>
          </w:p>
        </w:tc>
        <w:tc>
          <w:tcPr>
            <w:tcW w:w="1540"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eastAsiaTheme="minorEastAsia"/>
                <w:b w:val="0"/>
                <w:bCs w:val="0"/>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18"/>
                <w:szCs w:val="18"/>
                <w:lang w:val="en-US" w:eastAsia="zh-CN"/>
                <w14:textFill>
                  <w14:solidFill>
                    <w14:schemeClr w14:val="tx1"/>
                  </w14:solidFill>
                </w14:textFill>
              </w:rPr>
              <w:t>2553.4</w:t>
            </w:r>
          </w:p>
        </w:tc>
        <w:tc>
          <w:tcPr>
            <w:tcW w:w="1540"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eastAsiaTheme="minorEastAsia"/>
                <w:b w:val="0"/>
                <w:bCs w:val="0"/>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18"/>
                <w:szCs w:val="18"/>
                <w:lang w:val="en-US" w:eastAsia="zh-CN"/>
                <w14:textFill>
                  <w14:solidFill>
                    <w14:schemeClr w14:val="tx1"/>
                  </w14:solidFill>
                </w14:textFill>
              </w:rPr>
              <w:t>1266.2</w:t>
            </w:r>
          </w:p>
        </w:tc>
        <w:tc>
          <w:tcPr>
            <w:tcW w:w="1734" w:type="dxa"/>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cs="Times New Roman" w:eastAsiaTheme="minorEastAsia"/>
                <w:b w:val="0"/>
                <w:bCs w:val="0"/>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18"/>
                <w:szCs w:val="18"/>
                <w:lang w:val="en-US" w:eastAsia="zh-CN"/>
                <w14:textFill>
                  <w14:solidFill>
                    <w14:schemeClr w14:val="tx1"/>
                  </w14:solidFill>
                </w14:textFill>
              </w:rPr>
              <w:t>679.2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3" w:hRule="atLeast"/>
          <w:jc w:val="center"/>
        </w:trPr>
        <w:tc>
          <w:tcPr>
            <w:tcW w:w="3917" w:type="dxa"/>
            <w:tcBorders>
              <w:top w:val="nil"/>
              <w:left w:val="nil"/>
              <w:bottom w:val="nil"/>
              <w:right w:val="single" w:color="auto" w:sz="4" w:space="0"/>
            </w:tcBorders>
            <w:vAlign w:val="center"/>
          </w:tcPr>
          <w:p>
            <w:pP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　机动车、电子产品和日用产品修理业</w:t>
            </w:r>
          </w:p>
        </w:tc>
        <w:tc>
          <w:tcPr>
            <w:tcW w:w="1540"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eastAsiaTheme="minorEastAsia"/>
                <w:b w:val="0"/>
                <w:bCs w:val="0"/>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18"/>
                <w:szCs w:val="18"/>
                <w:lang w:val="en-US" w:eastAsia="zh-CN"/>
                <w14:textFill>
                  <w14:solidFill>
                    <w14:schemeClr w14:val="tx1"/>
                  </w14:solidFill>
                </w14:textFill>
              </w:rPr>
              <w:t>870</w:t>
            </w:r>
          </w:p>
        </w:tc>
        <w:tc>
          <w:tcPr>
            <w:tcW w:w="1540" w:type="dxa"/>
            <w:tcBorders>
              <w:top w:val="nil"/>
              <w:left w:val="single" w:color="auto" w:sz="4" w:space="0"/>
              <w:bottom w:val="nil"/>
              <w:right w:val="single" w:color="auto" w:sz="4" w:space="0"/>
            </w:tcBorders>
            <w:vAlign w:val="center"/>
          </w:tcPr>
          <w:p>
            <w:pPr>
              <w:widowControl/>
              <w:spacing w:line="240" w:lineRule="atLeast"/>
              <w:ind w:left="57" w:right="57"/>
              <w:jc w:val="right"/>
              <w:rPr>
                <w:rFonts w:hint="default" w:ascii="Times New Roman" w:hAnsi="Times New Roman" w:cs="Times New Roman" w:eastAsiaTheme="minorEastAsia"/>
                <w:b w:val="0"/>
                <w:bCs w:val="0"/>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18"/>
                <w:szCs w:val="18"/>
                <w:lang w:val="en-US" w:eastAsia="zh-CN"/>
                <w14:textFill>
                  <w14:solidFill>
                    <w14:schemeClr w14:val="tx1"/>
                  </w14:solidFill>
                </w14:textFill>
              </w:rPr>
              <w:t>107.3</w:t>
            </w:r>
          </w:p>
        </w:tc>
        <w:tc>
          <w:tcPr>
            <w:tcW w:w="1734" w:type="dxa"/>
            <w:tcBorders>
              <w:top w:val="nil"/>
              <w:left w:val="single" w:color="auto" w:sz="4" w:space="0"/>
              <w:bottom w:val="nil"/>
              <w:right w:val="nil"/>
            </w:tcBorders>
            <w:vAlign w:val="center"/>
          </w:tcPr>
          <w:p>
            <w:pPr>
              <w:widowControl/>
              <w:spacing w:line="240" w:lineRule="atLeast"/>
              <w:ind w:left="57" w:right="57"/>
              <w:jc w:val="right"/>
              <w:rPr>
                <w:rFonts w:hint="default" w:ascii="Times New Roman" w:hAnsi="Times New Roman" w:cs="Times New Roman" w:eastAsiaTheme="minorEastAsia"/>
                <w:b w:val="0"/>
                <w:bCs w:val="0"/>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18"/>
                <w:szCs w:val="18"/>
                <w:lang w:val="en-US" w:eastAsia="zh-CN"/>
                <w14:textFill>
                  <w14:solidFill>
                    <w14:schemeClr w14:val="tx1"/>
                  </w14:solidFill>
                </w14:textFill>
              </w:rPr>
              <w:t>772.6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917" w:type="dxa"/>
            <w:tcBorders>
              <w:top w:val="nil"/>
              <w:left w:val="nil"/>
              <w:bottom w:val="single" w:color="auto" w:sz="12" w:space="0"/>
              <w:right w:val="single" w:color="auto" w:sz="4" w:space="0"/>
            </w:tcBorders>
            <w:vAlign w:val="center"/>
          </w:tcPr>
          <w:p>
            <w:pP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　其他服务业</w:t>
            </w:r>
          </w:p>
        </w:tc>
        <w:tc>
          <w:tcPr>
            <w:tcW w:w="1540" w:type="dxa"/>
            <w:tcBorders>
              <w:top w:val="nil"/>
              <w:left w:val="single" w:color="auto" w:sz="4" w:space="0"/>
              <w:bottom w:val="single" w:color="auto" w:sz="12" w:space="0"/>
              <w:right w:val="single" w:color="auto" w:sz="4" w:space="0"/>
            </w:tcBorders>
            <w:vAlign w:val="center"/>
          </w:tcPr>
          <w:p>
            <w:pPr>
              <w:widowControl/>
              <w:spacing w:line="240" w:lineRule="atLeast"/>
              <w:ind w:left="57" w:right="57"/>
              <w:jc w:val="right"/>
              <w:rPr>
                <w:rFonts w:hint="eastAsia" w:ascii="Times New Roman" w:hAnsi="Times New Roman" w:cs="Times New Roman" w:eastAsiaTheme="minorEastAsia"/>
                <w:b w:val="0"/>
                <w:bCs w:val="0"/>
                <w:color w:val="000000" w:themeColor="text1"/>
                <w:kern w:val="0"/>
                <w:sz w:val="18"/>
                <w:szCs w:val="18"/>
                <w:lang w:eastAsia="zh-CN"/>
                <w14:textFill>
                  <w14:solidFill>
                    <w14:schemeClr w14:val="tx1"/>
                  </w14:solidFill>
                </w14:textFill>
              </w:rPr>
            </w:pPr>
            <w:r>
              <w:rPr>
                <w:rFonts w:hint="eastAsia" w:ascii="Times New Roman" w:hAnsi="Times New Roman" w:cs="Times New Roman"/>
                <w:b w:val="0"/>
                <w:bCs w:val="0"/>
                <w:color w:val="000000" w:themeColor="text1"/>
                <w:kern w:val="0"/>
                <w:sz w:val="18"/>
                <w:szCs w:val="18"/>
                <w:lang w:val="en-US" w:eastAsia="zh-CN"/>
                <w14:textFill>
                  <w14:solidFill>
                    <w14:schemeClr w14:val="tx1"/>
                  </w14:solidFill>
                </w14:textFill>
              </w:rPr>
              <w:t>0</w:t>
            </w:r>
          </w:p>
        </w:tc>
        <w:tc>
          <w:tcPr>
            <w:tcW w:w="1540" w:type="dxa"/>
            <w:tcBorders>
              <w:top w:val="nil"/>
              <w:left w:val="single" w:color="auto" w:sz="4" w:space="0"/>
              <w:bottom w:val="single" w:color="auto" w:sz="12" w:space="0"/>
              <w:right w:val="single" w:color="auto" w:sz="4" w:space="0"/>
            </w:tcBorders>
            <w:vAlign w:val="center"/>
          </w:tcPr>
          <w:p>
            <w:pPr>
              <w:widowControl/>
              <w:spacing w:line="240" w:lineRule="atLeast"/>
              <w:ind w:left="57" w:right="57"/>
              <w:jc w:val="right"/>
              <w:rPr>
                <w:rFonts w:ascii="Times New Roman" w:hAnsi="Times New Roman" w:cs="Times New Roman"/>
                <w:b w:val="0"/>
                <w:bCs w:val="0"/>
                <w:color w:val="000000" w:themeColor="text1"/>
                <w:kern w:val="0"/>
                <w:sz w:val="18"/>
                <w:szCs w:val="18"/>
                <w14:textFill>
                  <w14:solidFill>
                    <w14:schemeClr w14:val="tx1"/>
                  </w14:solidFill>
                </w14:textFill>
              </w:rPr>
            </w:pPr>
            <w:r>
              <w:rPr>
                <w:rFonts w:hint="eastAsia" w:ascii="Times New Roman" w:hAnsi="Times New Roman" w:cs="Times New Roman"/>
                <w:b w:val="0"/>
                <w:bCs w:val="0"/>
                <w:color w:val="000000" w:themeColor="text1"/>
                <w:kern w:val="0"/>
                <w:sz w:val="18"/>
                <w:szCs w:val="18"/>
                <w14:textFill>
                  <w14:solidFill>
                    <w14:schemeClr w14:val="tx1"/>
                  </w14:solidFill>
                </w14:textFill>
              </w:rPr>
              <w:t>0</w:t>
            </w:r>
          </w:p>
        </w:tc>
        <w:tc>
          <w:tcPr>
            <w:tcW w:w="1734" w:type="dxa"/>
            <w:tcBorders>
              <w:top w:val="nil"/>
              <w:left w:val="single" w:color="auto" w:sz="4" w:space="0"/>
              <w:bottom w:val="single" w:color="auto" w:sz="12" w:space="0"/>
              <w:right w:val="nil"/>
            </w:tcBorders>
            <w:vAlign w:val="center"/>
          </w:tcPr>
          <w:p>
            <w:pPr>
              <w:widowControl/>
              <w:spacing w:line="240" w:lineRule="atLeast"/>
              <w:ind w:left="57" w:right="57"/>
              <w:jc w:val="right"/>
              <w:rPr>
                <w:rFonts w:hint="eastAsia" w:ascii="Times New Roman" w:hAnsi="Times New Roman" w:cs="Times New Roman" w:eastAsiaTheme="minorEastAsia"/>
                <w:b w:val="0"/>
                <w:bCs w:val="0"/>
                <w:color w:val="000000" w:themeColor="text1"/>
                <w:kern w:val="0"/>
                <w:sz w:val="18"/>
                <w:szCs w:val="18"/>
                <w:lang w:eastAsia="zh-CN"/>
                <w14:textFill>
                  <w14:solidFill>
                    <w14:schemeClr w14:val="tx1"/>
                  </w14:solidFill>
                </w14:textFill>
              </w:rPr>
            </w:pPr>
            <w:r>
              <w:rPr>
                <w:rFonts w:hint="eastAsia" w:ascii="Times New Roman" w:hAnsi="Times New Roman" w:cs="Times New Roman"/>
                <w:b w:val="0"/>
                <w:bCs w:val="0"/>
                <w:color w:val="000000" w:themeColor="text1"/>
                <w:kern w:val="0"/>
                <w:sz w:val="18"/>
                <w:szCs w:val="18"/>
                <w:lang w:val="en-US" w:eastAsia="zh-CN"/>
                <w14:textFill>
                  <w14:solidFill>
                    <w14:schemeClr w14:val="tx1"/>
                  </w14:solidFill>
                </w14:textFill>
              </w:rPr>
              <w:t>0</w:t>
            </w:r>
          </w:p>
        </w:tc>
      </w:tr>
    </w:tbl>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方正黑体_GBK" w:hAnsi="方正黑体_GBK" w:eastAsia="方正黑体_GBK" w:cs="方正黑体_GBK"/>
          <w:b/>
          <w:bCs/>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bCs/>
          <w:color w:val="000000" w:themeColor="text1"/>
          <w:kern w:val="0"/>
          <w:sz w:val="32"/>
          <w:szCs w:val="32"/>
          <w14:textFill>
            <w14:solidFill>
              <w14:schemeClr w14:val="tx1"/>
            </w14:solidFill>
          </w14:textFill>
        </w:rPr>
        <w:t>四、教育</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（一）法人单位数和从业人员。</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2023</w:t>
      </w:r>
      <w:r>
        <w:rPr>
          <w:rFonts w:hint="eastAsia" w:ascii="Times New Roman" w:hAnsi="Times New Roman" w:eastAsia="方正仿宋_GBK" w:cs="Times New Roman"/>
          <w:color w:val="000000" w:themeColor="text1"/>
          <w:kern w:val="0"/>
          <w:sz w:val="32"/>
          <w:szCs w:val="32"/>
          <w14:textFill>
            <w14:solidFill>
              <w14:schemeClr w14:val="tx1"/>
            </w14:solidFill>
          </w14:textFill>
        </w:rPr>
        <w:t>年末，全县共有教育法人单位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46</w:t>
      </w:r>
      <w:r>
        <w:rPr>
          <w:rFonts w:hint="eastAsia" w:ascii="Times New Roman" w:hAnsi="Times New Roman" w:eastAsia="方正仿宋_GBK" w:cs="Times New Roman"/>
          <w:color w:val="000000" w:themeColor="text1"/>
          <w:kern w:val="0"/>
          <w:sz w:val="32"/>
          <w:szCs w:val="32"/>
          <w14:textFill>
            <w14:solidFill>
              <w14:schemeClr w14:val="tx1"/>
            </w14:solidFill>
          </w14:textFill>
        </w:rPr>
        <w:t>个，从业人员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2235</w:t>
      </w:r>
      <w:r>
        <w:rPr>
          <w:rFonts w:hint="eastAsia" w:ascii="Times New Roman" w:hAnsi="Times New Roman" w:eastAsia="方正仿宋_GBK" w:cs="Times New Roman"/>
          <w:color w:val="000000" w:themeColor="text1"/>
          <w:kern w:val="0"/>
          <w:sz w:val="32"/>
          <w:szCs w:val="32"/>
          <w14:textFill>
            <w14:solidFill>
              <w14:schemeClr w14:val="tx1"/>
            </w14:solidFill>
          </w14:textFill>
        </w:rPr>
        <w:t>人，</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分别比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2018年末</w:t>
      </w:r>
      <w:r>
        <w:rPr>
          <w:rFonts w:hint="eastAsia" w:ascii="Times New Roman" w:hAnsi="Times New Roman" w:eastAsia="方正仿宋_GBK" w:cs="Times New Roman"/>
          <w:color w:val="000000" w:themeColor="text1"/>
          <w:kern w:val="0"/>
          <w:sz w:val="32"/>
          <w:szCs w:val="32"/>
          <w14:textFill>
            <w14:solidFill>
              <w14:schemeClr w14:val="tx1"/>
            </w14:solidFill>
          </w14:textFill>
        </w:rPr>
        <w:t>增长</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21.1%和</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下降</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2.6%</w:t>
      </w:r>
      <w:r>
        <w:rPr>
          <w:rFonts w:hint="eastAsia" w:ascii="Times New Roman" w:hAnsi="Times New Roman" w:eastAsia="方正仿宋_GBK" w:cs="Times New Roman"/>
          <w:color w:val="000000" w:themeColor="text1"/>
          <w:kern w:val="0"/>
          <w:sz w:val="32"/>
          <w:szCs w:val="32"/>
          <w14:textFill>
            <w14:solidFill>
              <w14:schemeClr w14:val="tx1"/>
            </w14:solidFill>
          </w14:textFill>
        </w:rPr>
        <w:t>。其中，行政事业及非企业法人单位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35</w:t>
      </w:r>
      <w:r>
        <w:rPr>
          <w:rFonts w:hint="eastAsia" w:ascii="Times New Roman" w:hAnsi="Times New Roman" w:eastAsia="方正仿宋_GBK" w:cs="Times New Roman"/>
          <w:color w:val="000000" w:themeColor="text1"/>
          <w:kern w:val="0"/>
          <w:sz w:val="32"/>
          <w:szCs w:val="32"/>
          <w14:textFill>
            <w14:solidFill>
              <w14:schemeClr w14:val="tx1"/>
            </w14:solidFill>
          </w14:textFill>
        </w:rPr>
        <w:t>个，</w:t>
      </w:r>
      <w:r>
        <w:rPr>
          <w:rFonts w:ascii="Times New Roman" w:hAnsi="Times New Roman" w:eastAsia="方正仿宋_GBK" w:cs="Times New Roman"/>
          <w:color w:val="000000" w:themeColor="text1"/>
          <w:kern w:val="0"/>
          <w:sz w:val="32"/>
          <w:szCs w:val="32"/>
          <w14:textFill>
            <w14:solidFill>
              <w14:schemeClr w14:val="tx1"/>
            </w14:solidFill>
          </w14:textFill>
        </w:rPr>
        <w:t>从业人员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2119</w:t>
      </w:r>
      <w:r>
        <w:rPr>
          <w:rFonts w:hint="eastAsia" w:ascii="Times New Roman" w:hAnsi="Times New Roman" w:eastAsia="方正仿宋_GBK" w:cs="Times New Roman"/>
          <w:color w:val="000000" w:themeColor="text1"/>
          <w:kern w:val="0"/>
          <w:sz w:val="32"/>
          <w:szCs w:val="32"/>
          <w14:textFill>
            <w14:solidFill>
              <w14:schemeClr w14:val="tx1"/>
            </w14:solidFill>
          </w14:textFill>
        </w:rPr>
        <w:t>人，</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分别比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2018年末增长6.1%和</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下降</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5.8</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（二）主要经济</w:t>
      </w:r>
      <w:r>
        <w:rPr>
          <w:rFonts w:ascii="Times New Roman" w:hAnsi="Times New Roman" w:eastAsia="方正仿宋_GBK" w:cs="Times New Roman"/>
          <w:color w:val="000000" w:themeColor="text1"/>
          <w:kern w:val="0"/>
          <w:sz w:val="32"/>
          <w:szCs w:val="32"/>
          <w14:textFill>
            <w14:solidFill>
              <w14:schemeClr w14:val="tx1"/>
            </w14:solidFill>
          </w14:textFill>
        </w:rPr>
        <w:t>指标</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2023</w:t>
      </w:r>
      <w:r>
        <w:rPr>
          <w:rFonts w:hint="eastAsia" w:ascii="Times New Roman" w:hAnsi="Times New Roman" w:eastAsia="方正仿宋_GBK" w:cs="Times New Roman"/>
          <w:color w:val="000000" w:themeColor="text1"/>
          <w:kern w:val="0"/>
          <w:sz w:val="32"/>
          <w:szCs w:val="32"/>
          <w14:textFill>
            <w14:solidFill>
              <w14:schemeClr w14:val="tx1"/>
            </w14:solidFill>
          </w14:textFill>
        </w:rPr>
        <w:t>年末，教育企业法人单位资产总计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2186.5</w:t>
      </w:r>
      <w:r>
        <w:rPr>
          <w:rFonts w:hint="eastAsia" w:ascii="Times New Roman" w:hAnsi="Times New Roman" w:eastAsia="方正仿宋_GBK" w:cs="Times New Roman"/>
          <w:color w:val="000000" w:themeColor="text1"/>
          <w:sz w:val="32"/>
          <w:szCs w:val="32"/>
          <w14:textFill>
            <w14:solidFill>
              <w14:schemeClr w14:val="tx1"/>
            </w14:solidFill>
          </w14:textFill>
        </w:rPr>
        <w:t>万</w:t>
      </w:r>
      <w:r>
        <w:rPr>
          <w:rFonts w:hint="eastAsia" w:ascii="Times New Roman" w:hAnsi="Times New Roman" w:eastAsia="方正仿宋_GBK" w:cs="Times New Roman"/>
          <w:color w:val="000000" w:themeColor="text1"/>
          <w:kern w:val="0"/>
          <w:sz w:val="32"/>
          <w:szCs w:val="32"/>
          <w14:textFill>
            <w14:solidFill>
              <w14:schemeClr w14:val="tx1"/>
            </w14:solidFill>
          </w14:textFill>
        </w:rPr>
        <w:t>元，比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w:t>
      </w:r>
      <w:r>
        <w:rPr>
          <w:rFonts w:hint="eastAsia" w:ascii="Times New Roman" w:hAnsi="Times New Roman" w:eastAsia="方正仿宋_GBK" w:cs="Times New Roman"/>
          <w:color w:val="000000" w:themeColor="text1"/>
          <w:kern w:val="0"/>
          <w:sz w:val="32"/>
          <w:szCs w:val="32"/>
          <w14:textFill>
            <w14:solidFill>
              <w14:schemeClr w14:val="tx1"/>
            </w14:solidFill>
          </w14:textFill>
        </w:rPr>
        <w:t>年</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下降</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45.2</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14:textFill>
            <w14:solidFill>
              <w14:schemeClr w14:val="tx1"/>
            </w14:solidFill>
          </w14:textFill>
        </w:rPr>
        <w:t>负债合计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734.8</w:t>
      </w:r>
      <w:r>
        <w:rPr>
          <w:rFonts w:hint="eastAsia" w:ascii="Times New Roman" w:hAnsi="Times New Roman" w:eastAsia="方正仿宋_GBK" w:cs="Times New Roman"/>
          <w:color w:val="000000" w:themeColor="text1"/>
          <w:sz w:val="32"/>
          <w:szCs w:val="32"/>
          <w14:textFill>
            <w14:solidFill>
              <w14:schemeClr w14:val="tx1"/>
            </w14:solidFill>
          </w14:textFill>
        </w:rPr>
        <w:t>万</w:t>
      </w:r>
      <w:r>
        <w:rPr>
          <w:rFonts w:hint="eastAsia" w:ascii="Times New Roman" w:hAnsi="Times New Roman" w:eastAsia="方正仿宋_GBK" w:cs="Times New Roman"/>
          <w:color w:val="000000" w:themeColor="text1"/>
          <w:kern w:val="0"/>
          <w:sz w:val="32"/>
          <w:szCs w:val="32"/>
          <w14:textFill>
            <w14:solidFill>
              <w14:schemeClr w14:val="tx1"/>
            </w14:solidFill>
          </w14:textFill>
        </w:rPr>
        <w:t>元</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2018年末增长30.1%。</w:t>
      </w:r>
      <w:r>
        <w:rPr>
          <w:rFonts w:hint="eastAsia" w:ascii="Times New Roman" w:hAnsi="Times New Roman" w:eastAsia="方正仿宋_GBK" w:cs="Times New Roman"/>
          <w:color w:val="000000" w:themeColor="text1"/>
          <w:kern w:val="0"/>
          <w:sz w:val="32"/>
          <w:szCs w:val="32"/>
          <w14:textFill>
            <w14:solidFill>
              <w14:schemeClr w14:val="tx1"/>
            </w14:solidFill>
          </w14:textFill>
        </w:rPr>
        <w:t>全年实现营业收入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1023.9</w:t>
      </w:r>
      <w:r>
        <w:rPr>
          <w:rFonts w:hint="eastAsia" w:ascii="Times New Roman" w:hAnsi="Times New Roman" w:eastAsia="方正仿宋_GBK" w:cs="Times New Roman"/>
          <w:color w:val="000000" w:themeColor="text1"/>
          <w:sz w:val="32"/>
          <w:szCs w:val="32"/>
          <w14:textFill>
            <w14:solidFill>
              <w14:schemeClr w14:val="tx1"/>
            </w14:solidFill>
          </w14:textFill>
        </w:rPr>
        <w:t>万</w:t>
      </w:r>
      <w:r>
        <w:rPr>
          <w:rFonts w:hint="eastAsia" w:ascii="Times New Roman" w:hAnsi="Times New Roman" w:eastAsia="方正仿宋_GBK" w:cs="Times New Roman"/>
          <w:color w:val="000000" w:themeColor="text1"/>
          <w:kern w:val="0"/>
          <w:sz w:val="32"/>
          <w:szCs w:val="32"/>
          <w14:textFill>
            <w14:solidFill>
              <w14:schemeClr w14:val="tx1"/>
            </w14:solidFill>
          </w14:textFill>
        </w:rPr>
        <w:t>元</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2018年下降9.7%。</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行政事业及非企业法人单位年末资产</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38000</w:t>
      </w:r>
      <w:r>
        <w:rPr>
          <w:rFonts w:hint="eastAsia" w:ascii="Times New Roman" w:hAnsi="Times New Roman" w:eastAsia="方正仿宋_GBK" w:cs="Times New Roman"/>
          <w:color w:val="000000" w:themeColor="text1"/>
          <w:sz w:val="32"/>
          <w:szCs w:val="32"/>
          <w14:textFill>
            <w14:solidFill>
              <w14:schemeClr w14:val="tx1"/>
            </w14:solidFill>
          </w14:textFill>
        </w:rPr>
        <w:t>万</w:t>
      </w:r>
      <w:r>
        <w:rPr>
          <w:rFonts w:hint="eastAsia" w:ascii="Times New Roman" w:hAnsi="Times New Roman" w:eastAsia="方正仿宋_GBK" w:cs="Times New Roman"/>
          <w:color w:val="000000" w:themeColor="text1"/>
          <w:kern w:val="0"/>
          <w:sz w:val="32"/>
          <w:szCs w:val="32"/>
          <w14:textFill>
            <w14:solidFill>
              <w14:schemeClr w14:val="tx1"/>
            </w14:solidFill>
          </w14:textFill>
        </w:rPr>
        <w:t>元，比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w:t>
      </w:r>
      <w:r>
        <w:rPr>
          <w:rFonts w:hint="eastAsia" w:ascii="Times New Roman" w:hAnsi="Times New Roman" w:eastAsia="方正仿宋_GBK" w:cs="Times New Roman"/>
          <w:color w:val="000000" w:themeColor="text1"/>
          <w:kern w:val="0"/>
          <w:sz w:val="32"/>
          <w:szCs w:val="32"/>
          <w14:textFill>
            <w14:solidFill>
              <w14:schemeClr w14:val="tx1"/>
            </w14:solidFill>
          </w14:textFill>
        </w:rPr>
        <w:t>年</w:t>
      </w:r>
      <w:r>
        <w:rPr>
          <w:rFonts w:ascii="Times New Roman" w:hAnsi="Times New Roman" w:eastAsia="方正仿宋_GBK" w:cs="Times New Roman"/>
          <w:color w:val="000000" w:themeColor="text1"/>
          <w:kern w:val="0"/>
          <w:sz w:val="32"/>
          <w:szCs w:val="32"/>
          <w14:textFill>
            <w14:solidFill>
              <w14:schemeClr w14:val="tx1"/>
            </w14:solidFill>
          </w14:textFill>
        </w:rPr>
        <w:t>增长</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101.9%</w:t>
      </w:r>
      <w:r>
        <w:rPr>
          <w:rFonts w:hint="eastAsia" w:ascii="Times New Roman" w:hAnsi="Times New Roman" w:eastAsia="方正仿宋_GBK" w:cs="Times New Roman"/>
          <w:color w:val="000000" w:themeColor="text1"/>
          <w:kern w:val="0"/>
          <w:sz w:val="32"/>
          <w:szCs w:val="32"/>
          <w14:textFill>
            <w14:solidFill>
              <w14:schemeClr w14:val="tx1"/>
            </w14:solidFill>
          </w14:textFill>
        </w:rPr>
        <w:t>。本年支出（费用）合计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35000</w:t>
      </w:r>
      <w:r>
        <w:rPr>
          <w:rFonts w:hint="eastAsia" w:ascii="Times New Roman" w:hAnsi="Times New Roman" w:eastAsia="方正仿宋_GBK" w:cs="Times New Roman"/>
          <w:color w:val="000000" w:themeColor="text1"/>
          <w:sz w:val="32"/>
          <w:szCs w:val="32"/>
          <w14:textFill>
            <w14:solidFill>
              <w14:schemeClr w14:val="tx1"/>
            </w14:solidFill>
          </w14:textFill>
        </w:rPr>
        <w:t>万</w:t>
      </w:r>
      <w:r>
        <w:rPr>
          <w:rFonts w:hint="eastAsia" w:ascii="Times New Roman" w:hAnsi="Times New Roman" w:eastAsia="方正仿宋_GBK" w:cs="Times New Roman"/>
          <w:color w:val="000000" w:themeColor="text1"/>
          <w:kern w:val="0"/>
          <w:sz w:val="32"/>
          <w:szCs w:val="32"/>
          <w14:textFill>
            <w14:solidFill>
              <w14:schemeClr w14:val="tx1"/>
            </w14:solidFill>
          </w14:textFill>
        </w:rPr>
        <w:t>元</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2018年下降13.2%</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方正黑体_GBK" w:hAnsi="方正黑体_GBK" w:eastAsia="方正黑体_GBK" w:cs="方正黑体_GBK"/>
          <w:b/>
          <w:bCs/>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bCs/>
          <w:color w:val="000000" w:themeColor="text1"/>
          <w:kern w:val="0"/>
          <w:sz w:val="32"/>
          <w:szCs w:val="32"/>
          <w14:textFill>
            <w14:solidFill>
              <w14:schemeClr w14:val="tx1"/>
            </w14:solidFill>
          </w14:textFill>
        </w:rPr>
        <w:t>五、卫生和社会工作</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（一）法人单位数和从业人员。</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2023</w:t>
      </w:r>
      <w:r>
        <w:rPr>
          <w:rFonts w:hint="eastAsia" w:ascii="Times New Roman" w:hAnsi="Times New Roman" w:eastAsia="方正仿宋_GBK" w:cs="Times New Roman"/>
          <w:color w:val="000000" w:themeColor="text1"/>
          <w:kern w:val="0"/>
          <w:sz w:val="32"/>
          <w:szCs w:val="32"/>
          <w14:textFill>
            <w14:solidFill>
              <w14:schemeClr w14:val="tx1"/>
            </w14:solidFill>
          </w14:textFill>
        </w:rPr>
        <w:t>年末，全县共有卫生和社会工作法人单位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w:t>
      </w:r>
      <w:r>
        <w:rPr>
          <w:rFonts w:hint="eastAsia" w:ascii="Times New Roman" w:hAnsi="Times New Roman" w:eastAsia="方正仿宋_GBK" w:cs="Times New Roman"/>
          <w:color w:val="000000" w:themeColor="text1"/>
          <w:kern w:val="0"/>
          <w:sz w:val="32"/>
          <w:szCs w:val="32"/>
          <w14:textFill>
            <w14:solidFill>
              <w14:schemeClr w14:val="tx1"/>
            </w14:solidFill>
          </w14:textFill>
        </w:rPr>
        <w:t>个，从业人员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1097</w:t>
      </w:r>
      <w:r>
        <w:rPr>
          <w:rFonts w:hint="eastAsia" w:ascii="Times New Roman" w:hAnsi="Times New Roman" w:eastAsia="方正仿宋_GBK" w:cs="Times New Roman"/>
          <w:color w:val="000000" w:themeColor="text1"/>
          <w:kern w:val="0"/>
          <w:sz w:val="32"/>
          <w:szCs w:val="32"/>
          <w14:textFill>
            <w14:solidFill>
              <w14:schemeClr w14:val="tx1"/>
            </w14:solidFill>
          </w14:textFill>
        </w:rPr>
        <w:t>人，</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分别比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2018年末下降13.0%和</w:t>
      </w:r>
      <w:r>
        <w:rPr>
          <w:rFonts w:hint="eastAsia" w:ascii="Times New Roman" w:hAnsi="Times New Roman" w:eastAsia="方正仿宋_GBK" w:cs="Times New Roman"/>
          <w:color w:val="000000" w:themeColor="text1"/>
          <w:kern w:val="0"/>
          <w:sz w:val="32"/>
          <w:szCs w:val="32"/>
          <w14:textFill>
            <w14:solidFill>
              <w14:schemeClr w14:val="tx1"/>
            </w14:solidFill>
          </w14:textFill>
        </w:rPr>
        <w:t>增长</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9.2</w:t>
      </w:r>
      <w:r>
        <w:rPr>
          <w:rFonts w:hint="eastAsia" w:ascii="Times New Roman" w:hAnsi="Times New Roman" w:eastAsia="方正仿宋_GBK" w:cs="Times New Roman"/>
          <w:color w:val="000000" w:themeColor="text1"/>
          <w:kern w:val="0"/>
          <w:sz w:val="32"/>
          <w:szCs w:val="32"/>
          <w14:textFill>
            <w14:solidFill>
              <w14:schemeClr w14:val="tx1"/>
            </w14:solidFill>
          </w14:textFill>
        </w:rPr>
        <w:t>%。其中，行政事业及非企业法人单位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15</w:t>
      </w:r>
      <w:r>
        <w:rPr>
          <w:rFonts w:hint="eastAsia" w:ascii="Times New Roman" w:hAnsi="Times New Roman" w:eastAsia="方正仿宋_GBK" w:cs="Times New Roman"/>
          <w:color w:val="000000" w:themeColor="text1"/>
          <w:kern w:val="0"/>
          <w:sz w:val="32"/>
          <w:szCs w:val="32"/>
          <w14:textFill>
            <w14:solidFill>
              <w14:schemeClr w14:val="tx1"/>
            </w14:solidFill>
          </w14:textFill>
        </w:rPr>
        <w:t>个，比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w:t>
      </w:r>
      <w:r>
        <w:rPr>
          <w:rFonts w:hint="eastAsia" w:ascii="Times New Roman" w:hAnsi="Times New Roman" w:eastAsia="方正仿宋_GBK" w:cs="Times New Roman"/>
          <w:color w:val="000000" w:themeColor="text1"/>
          <w:kern w:val="0"/>
          <w:sz w:val="32"/>
          <w:szCs w:val="32"/>
          <w14:textFill>
            <w14:solidFill>
              <w14:schemeClr w14:val="tx1"/>
            </w14:solidFill>
          </w14:textFill>
        </w:rPr>
        <w:t>年末下降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25.0</w:t>
      </w:r>
      <w:r>
        <w:rPr>
          <w:rFonts w:hint="eastAsia" w:ascii="Times New Roman" w:hAnsi="Times New Roman" w:eastAsia="方正仿宋_GBK" w:cs="Times New Roman"/>
          <w:color w:val="000000" w:themeColor="text1"/>
          <w:kern w:val="0"/>
          <w:sz w:val="32"/>
          <w:szCs w:val="32"/>
          <w14:textFill>
            <w14:solidFill>
              <w14:schemeClr w14:val="tx1"/>
            </w14:solidFill>
          </w14:textFill>
        </w:rPr>
        <w:t>%，从业</w:t>
      </w:r>
      <w:r>
        <w:rPr>
          <w:rFonts w:ascii="Times New Roman" w:hAnsi="Times New Roman" w:eastAsia="方正仿宋_GBK" w:cs="Times New Roman"/>
          <w:color w:val="000000" w:themeColor="text1"/>
          <w:kern w:val="0"/>
          <w:sz w:val="32"/>
          <w:szCs w:val="32"/>
          <w14:textFill>
            <w14:solidFill>
              <w14:schemeClr w14:val="tx1"/>
            </w14:solidFill>
          </w14:textFill>
        </w:rPr>
        <w:t>人员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982</w:t>
      </w:r>
      <w:r>
        <w:rPr>
          <w:rFonts w:hint="eastAsia" w:ascii="Times New Roman" w:hAnsi="Times New Roman" w:eastAsia="方正仿宋_GBK" w:cs="Times New Roman"/>
          <w:color w:val="000000" w:themeColor="text1"/>
          <w:kern w:val="0"/>
          <w:sz w:val="32"/>
          <w:szCs w:val="32"/>
          <w14:textFill>
            <w14:solidFill>
              <w14:schemeClr w14:val="tx1"/>
            </w14:solidFill>
          </w14:textFill>
        </w:rPr>
        <w:t>人，增长</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14.1</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楷体_GB2312" w:cs="Times New Roman"/>
          <w:color w:val="000000" w:themeColor="text1"/>
          <w:kern w:val="0"/>
          <w:sz w:val="32"/>
          <w:szCs w:val="32"/>
          <w14:textFill>
            <w14:solidFill>
              <w14:schemeClr w14:val="tx1"/>
            </w14:solidFill>
          </w14:textFill>
        </w:rPr>
      </w:pPr>
      <w:r>
        <w:rPr>
          <w:rFonts w:hint="eastAsia" w:ascii="Times New Roman" w:hAnsi="Times New Roman" w:eastAsia="楷体_GB2312" w:cs="Times New Roman"/>
          <w:color w:val="000000" w:themeColor="text1"/>
          <w:kern w:val="0"/>
          <w:sz w:val="32"/>
          <w:szCs w:val="32"/>
          <w14:textFill>
            <w14:solidFill>
              <w14:schemeClr w14:val="tx1"/>
            </w14:solidFill>
          </w14:textFill>
        </w:rPr>
        <w:t>（二）主要经济</w:t>
      </w:r>
      <w:r>
        <w:rPr>
          <w:rFonts w:ascii="Times New Roman" w:hAnsi="Times New Roman" w:eastAsia="楷体_GB2312" w:cs="Times New Roman"/>
          <w:color w:val="000000" w:themeColor="text1"/>
          <w:kern w:val="0"/>
          <w:sz w:val="32"/>
          <w:szCs w:val="32"/>
          <w14:textFill>
            <w14:solidFill>
              <w14:schemeClr w14:val="tx1"/>
            </w14:solidFill>
          </w14:textFill>
        </w:rPr>
        <w:t>指标</w:t>
      </w:r>
      <w:r>
        <w:rPr>
          <w:rFonts w:hint="eastAsia" w:ascii="Times New Roman" w:hAnsi="Times New Roman" w:eastAsia="楷体_GB2312" w:cs="Times New Roman"/>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2023</w:t>
      </w:r>
      <w:r>
        <w:rPr>
          <w:rFonts w:hint="eastAsia" w:ascii="Times New Roman" w:hAnsi="Times New Roman" w:eastAsia="方正仿宋_GBK" w:cs="Times New Roman"/>
          <w:color w:val="000000" w:themeColor="text1"/>
          <w:kern w:val="0"/>
          <w:sz w:val="32"/>
          <w:szCs w:val="32"/>
          <w14:textFill>
            <w14:solidFill>
              <w14:schemeClr w14:val="tx1"/>
            </w14:solidFill>
          </w14:textFill>
        </w:rPr>
        <w:t>年末，卫生和社会工作企业法人单位资产总计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6494.1</w:t>
      </w:r>
      <w:r>
        <w:rPr>
          <w:rFonts w:hint="eastAsia" w:ascii="Times New Roman" w:hAnsi="Times New Roman" w:eastAsia="方正仿宋_GBK" w:cs="Times New Roman"/>
          <w:color w:val="000000" w:themeColor="text1"/>
          <w:sz w:val="32"/>
          <w:szCs w:val="32"/>
          <w14:textFill>
            <w14:solidFill>
              <w14:schemeClr w14:val="tx1"/>
            </w14:solidFill>
          </w14:textFill>
        </w:rPr>
        <w:t>万</w:t>
      </w:r>
      <w:r>
        <w:rPr>
          <w:rFonts w:hint="eastAsia" w:ascii="Times New Roman" w:hAnsi="Times New Roman" w:eastAsia="方正仿宋_GBK" w:cs="Times New Roman"/>
          <w:color w:val="000000" w:themeColor="text1"/>
          <w:kern w:val="0"/>
          <w:sz w:val="32"/>
          <w:szCs w:val="32"/>
          <w14:textFill>
            <w14:solidFill>
              <w14:schemeClr w14:val="tx1"/>
            </w14:solidFill>
          </w14:textFill>
        </w:rPr>
        <w:t>元，比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w:t>
      </w:r>
      <w:r>
        <w:rPr>
          <w:rFonts w:hint="eastAsia" w:ascii="Times New Roman" w:hAnsi="Times New Roman" w:eastAsia="方正仿宋_GBK" w:cs="Times New Roman"/>
          <w:color w:val="000000" w:themeColor="text1"/>
          <w:kern w:val="0"/>
          <w:sz w:val="32"/>
          <w:szCs w:val="32"/>
          <w14:textFill>
            <w14:solidFill>
              <w14:schemeClr w14:val="tx1"/>
            </w14:solidFill>
          </w14:textFill>
        </w:rPr>
        <w:t>年</w:t>
      </w:r>
      <w:r>
        <w:rPr>
          <w:rFonts w:ascii="Times New Roman" w:hAnsi="Times New Roman" w:eastAsia="方正仿宋_GBK" w:cs="Times New Roman"/>
          <w:color w:val="000000" w:themeColor="text1"/>
          <w:kern w:val="0"/>
          <w:sz w:val="32"/>
          <w:szCs w:val="32"/>
          <w14:textFill>
            <w14:solidFill>
              <w14:schemeClr w14:val="tx1"/>
            </w14:solidFill>
          </w14:textFill>
        </w:rPr>
        <w:t>增长</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1.3</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14:textFill>
            <w14:solidFill>
              <w14:schemeClr w14:val="tx1"/>
            </w14:solidFill>
          </w14:textFill>
        </w:rPr>
        <w:t>负债合计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3497.1</w:t>
      </w:r>
      <w:r>
        <w:rPr>
          <w:rFonts w:hint="eastAsia" w:ascii="Times New Roman" w:hAnsi="Times New Roman" w:eastAsia="方正仿宋_GBK" w:cs="Times New Roman"/>
          <w:color w:val="000000" w:themeColor="text1"/>
          <w:sz w:val="32"/>
          <w:szCs w:val="32"/>
          <w14:textFill>
            <w14:solidFill>
              <w14:schemeClr w14:val="tx1"/>
            </w14:solidFill>
          </w14:textFill>
        </w:rPr>
        <w:t>万</w:t>
      </w:r>
      <w:r>
        <w:rPr>
          <w:rFonts w:hint="eastAsia" w:ascii="Times New Roman" w:hAnsi="Times New Roman" w:eastAsia="方正仿宋_GBK" w:cs="Times New Roman"/>
          <w:color w:val="000000" w:themeColor="text1"/>
          <w:kern w:val="0"/>
          <w:sz w:val="32"/>
          <w:szCs w:val="32"/>
          <w14:textFill>
            <w14:solidFill>
              <w14:schemeClr w14:val="tx1"/>
            </w14:solidFill>
          </w14:textFill>
        </w:rPr>
        <w:t>元</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2018年末下降5.4%</w:t>
      </w:r>
      <w:r>
        <w:rPr>
          <w:rFonts w:hint="eastAsia" w:ascii="Times New Roman" w:hAnsi="Times New Roman" w:eastAsia="方正仿宋_GBK" w:cs="Times New Roman"/>
          <w:color w:val="000000" w:themeColor="text1"/>
          <w:kern w:val="0"/>
          <w:sz w:val="32"/>
          <w:szCs w:val="32"/>
          <w14:textFill>
            <w14:solidFill>
              <w14:schemeClr w14:val="tx1"/>
            </w14:solidFill>
          </w14:textFill>
        </w:rPr>
        <w:t>。全年实现营业收入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2494.4</w:t>
      </w:r>
      <w:r>
        <w:rPr>
          <w:rFonts w:hint="eastAsia" w:ascii="Times New Roman" w:hAnsi="Times New Roman" w:eastAsia="方正仿宋_GBK" w:cs="Times New Roman"/>
          <w:color w:val="000000" w:themeColor="text1"/>
          <w:sz w:val="32"/>
          <w:szCs w:val="32"/>
          <w14:textFill>
            <w14:solidFill>
              <w14:schemeClr w14:val="tx1"/>
            </w14:solidFill>
          </w14:textFill>
        </w:rPr>
        <w:t>万</w:t>
      </w:r>
      <w:r>
        <w:rPr>
          <w:rFonts w:hint="eastAsia" w:ascii="Times New Roman" w:hAnsi="Times New Roman" w:eastAsia="方正仿宋_GBK" w:cs="Times New Roman"/>
          <w:color w:val="000000" w:themeColor="text1"/>
          <w:kern w:val="0"/>
          <w:sz w:val="32"/>
          <w:szCs w:val="32"/>
          <w14:textFill>
            <w14:solidFill>
              <w14:schemeClr w14:val="tx1"/>
            </w14:solidFill>
          </w14:textFill>
        </w:rPr>
        <w:t>元</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2018年增长20.9%</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行政事业及非企业法人单位年末资产</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50000</w:t>
      </w:r>
      <w:r>
        <w:rPr>
          <w:rFonts w:hint="eastAsia" w:ascii="Times New Roman" w:hAnsi="Times New Roman" w:eastAsia="方正仿宋_GBK" w:cs="Times New Roman"/>
          <w:color w:val="000000" w:themeColor="text1"/>
          <w:sz w:val="32"/>
          <w:szCs w:val="32"/>
          <w14:textFill>
            <w14:solidFill>
              <w14:schemeClr w14:val="tx1"/>
            </w14:solidFill>
          </w14:textFill>
        </w:rPr>
        <w:t>万</w:t>
      </w:r>
      <w:r>
        <w:rPr>
          <w:rFonts w:hint="eastAsia" w:ascii="Times New Roman" w:hAnsi="Times New Roman" w:eastAsia="方正仿宋_GBK" w:cs="Times New Roman"/>
          <w:color w:val="000000" w:themeColor="text1"/>
          <w:kern w:val="0"/>
          <w:sz w:val="32"/>
          <w:szCs w:val="32"/>
          <w14:textFill>
            <w14:solidFill>
              <w14:schemeClr w14:val="tx1"/>
            </w14:solidFill>
          </w14:textFill>
        </w:rPr>
        <w:t>元，比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w:t>
      </w:r>
      <w:r>
        <w:rPr>
          <w:rFonts w:hint="eastAsia" w:ascii="Times New Roman" w:hAnsi="Times New Roman" w:eastAsia="方正仿宋_GBK" w:cs="Times New Roman"/>
          <w:color w:val="000000" w:themeColor="text1"/>
          <w:kern w:val="0"/>
          <w:sz w:val="32"/>
          <w:szCs w:val="32"/>
          <w14:textFill>
            <w14:solidFill>
              <w14:schemeClr w14:val="tx1"/>
            </w14:solidFill>
          </w14:textFill>
        </w:rPr>
        <w:t>年</w:t>
      </w:r>
      <w:r>
        <w:rPr>
          <w:rFonts w:ascii="Times New Roman" w:hAnsi="Times New Roman" w:eastAsia="方正仿宋_GBK" w:cs="Times New Roman"/>
          <w:color w:val="000000" w:themeColor="text1"/>
          <w:kern w:val="0"/>
          <w:sz w:val="32"/>
          <w:szCs w:val="32"/>
          <w14:textFill>
            <w14:solidFill>
              <w14:schemeClr w14:val="tx1"/>
            </w14:solidFill>
          </w14:textFill>
        </w:rPr>
        <w:t>增长</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124.8%</w:t>
      </w:r>
      <w:r>
        <w:rPr>
          <w:rFonts w:hint="eastAsia" w:ascii="Times New Roman" w:hAnsi="Times New Roman" w:eastAsia="方正仿宋_GBK" w:cs="Times New Roman"/>
          <w:color w:val="000000" w:themeColor="text1"/>
          <w:kern w:val="0"/>
          <w:sz w:val="32"/>
          <w:szCs w:val="32"/>
          <w14:textFill>
            <w14:solidFill>
              <w14:schemeClr w14:val="tx1"/>
            </w14:solidFill>
          </w14:textFill>
        </w:rPr>
        <w:t>。本年支出（费用）合计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25000</w:t>
      </w:r>
      <w:r>
        <w:rPr>
          <w:rFonts w:hint="eastAsia" w:ascii="Times New Roman" w:hAnsi="Times New Roman" w:eastAsia="方正仿宋_GBK" w:cs="Times New Roman"/>
          <w:color w:val="000000" w:themeColor="text1"/>
          <w:sz w:val="32"/>
          <w:szCs w:val="32"/>
          <w14:textFill>
            <w14:solidFill>
              <w14:schemeClr w14:val="tx1"/>
            </w14:solidFill>
          </w14:textFill>
        </w:rPr>
        <w:t>万</w:t>
      </w:r>
      <w:r>
        <w:rPr>
          <w:rFonts w:hint="eastAsia" w:ascii="Times New Roman" w:hAnsi="Times New Roman" w:eastAsia="方正仿宋_GBK" w:cs="Times New Roman"/>
          <w:color w:val="000000" w:themeColor="text1"/>
          <w:kern w:val="0"/>
          <w:sz w:val="32"/>
          <w:szCs w:val="32"/>
          <w14:textFill>
            <w14:solidFill>
              <w14:schemeClr w14:val="tx1"/>
            </w14:solidFill>
          </w14:textFill>
        </w:rPr>
        <w:t>元</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2018年增长42.2%</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方正黑体_GBK" w:hAnsi="方正黑体_GBK" w:eastAsia="方正黑体_GBK" w:cs="方正黑体_GBK"/>
          <w:b/>
          <w:bCs/>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bCs/>
          <w:color w:val="000000" w:themeColor="text1"/>
          <w:kern w:val="0"/>
          <w:sz w:val="32"/>
          <w:szCs w:val="32"/>
          <w14:textFill>
            <w14:solidFill>
              <w14:schemeClr w14:val="tx1"/>
            </w14:solidFill>
          </w14:textFill>
        </w:rPr>
        <w:t>六、文化、体育和娱乐业</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（一）法人单位数和从业人员。</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2023</w:t>
      </w:r>
      <w:r>
        <w:rPr>
          <w:rFonts w:hint="eastAsia" w:ascii="Times New Roman" w:hAnsi="Times New Roman" w:eastAsia="方正仿宋_GBK" w:cs="Times New Roman"/>
          <w:color w:val="000000" w:themeColor="text1"/>
          <w:kern w:val="0"/>
          <w:sz w:val="32"/>
          <w:szCs w:val="32"/>
          <w14:textFill>
            <w14:solidFill>
              <w14:schemeClr w14:val="tx1"/>
            </w14:solidFill>
          </w14:textFill>
        </w:rPr>
        <w:t>年末，全县共有文化、体育和娱乐业法人单位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14</w:t>
      </w:r>
      <w:r>
        <w:rPr>
          <w:rFonts w:hint="eastAsia" w:ascii="Times New Roman" w:hAnsi="Times New Roman" w:eastAsia="方正仿宋_GBK" w:cs="Times New Roman"/>
          <w:color w:val="000000" w:themeColor="text1"/>
          <w:kern w:val="0"/>
          <w:sz w:val="32"/>
          <w:szCs w:val="32"/>
          <w14:textFill>
            <w14:solidFill>
              <w14:schemeClr w14:val="tx1"/>
            </w14:solidFill>
          </w14:textFill>
        </w:rPr>
        <w:t>个，从业人员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59</w:t>
      </w:r>
      <w:r>
        <w:rPr>
          <w:rFonts w:hint="eastAsia" w:ascii="Times New Roman" w:hAnsi="Times New Roman" w:eastAsia="方正仿宋_GBK" w:cs="Times New Roman"/>
          <w:color w:val="000000" w:themeColor="text1"/>
          <w:kern w:val="0"/>
          <w:sz w:val="32"/>
          <w:szCs w:val="32"/>
          <w14:textFill>
            <w14:solidFill>
              <w14:schemeClr w14:val="tx1"/>
            </w14:solidFill>
          </w14:textFill>
        </w:rPr>
        <w:t>人，</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分别比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2018年末下降51.7%和</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增长</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31.1</w:t>
      </w:r>
      <w:r>
        <w:rPr>
          <w:rFonts w:hint="eastAsia" w:ascii="Times New Roman" w:hAnsi="Times New Roman" w:eastAsia="方正仿宋_GBK" w:cs="Times New Roman"/>
          <w:color w:val="000000" w:themeColor="text1"/>
          <w:kern w:val="0"/>
          <w:sz w:val="32"/>
          <w:szCs w:val="32"/>
          <w14:textFill>
            <w14:solidFill>
              <w14:schemeClr w14:val="tx1"/>
            </w14:solidFill>
          </w14:textFill>
        </w:rPr>
        <w:t>%。其中，企业法人</w:t>
      </w:r>
      <w:r>
        <w:rPr>
          <w:rFonts w:ascii="Times New Roman" w:hAnsi="Times New Roman" w:eastAsia="方正仿宋_GBK" w:cs="Times New Roman"/>
          <w:color w:val="000000" w:themeColor="text1"/>
          <w:kern w:val="0"/>
          <w:sz w:val="32"/>
          <w:szCs w:val="32"/>
          <w14:textFill>
            <w14:solidFill>
              <w14:schemeClr w14:val="tx1"/>
            </w14:solidFill>
          </w14:textFill>
        </w:rPr>
        <w:t>单位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9</w:t>
      </w:r>
      <w:r>
        <w:rPr>
          <w:rFonts w:hint="eastAsia" w:ascii="Times New Roman" w:hAnsi="Times New Roman" w:eastAsia="方正仿宋_GBK" w:cs="Times New Roman"/>
          <w:color w:val="000000" w:themeColor="text1"/>
          <w:kern w:val="0"/>
          <w:sz w:val="32"/>
          <w:szCs w:val="32"/>
          <w14:textFill>
            <w14:solidFill>
              <w14:schemeClr w14:val="tx1"/>
            </w14:solidFill>
          </w14:textFill>
        </w:rPr>
        <w:t>个</w:t>
      </w:r>
      <w:r>
        <w:rPr>
          <w:rFonts w:ascii="Times New Roman" w:hAnsi="Times New Roman" w:eastAsia="方正仿宋_GBK" w:cs="Times New Roman"/>
          <w:color w:val="000000" w:themeColor="text1"/>
          <w:kern w:val="0"/>
          <w:sz w:val="32"/>
          <w:szCs w:val="32"/>
          <w14:textFill>
            <w14:solidFill>
              <w14:schemeClr w14:val="tx1"/>
            </w14:solidFill>
          </w14:textFill>
        </w:rPr>
        <w:t>，</w:t>
      </w:r>
      <w:r>
        <w:rPr>
          <w:rFonts w:hint="eastAsia" w:ascii="Times New Roman" w:hAnsi="Times New Roman" w:eastAsia="方正仿宋_GBK" w:cs="Times New Roman"/>
          <w:color w:val="000000" w:themeColor="text1"/>
          <w:kern w:val="0"/>
          <w:sz w:val="32"/>
          <w:szCs w:val="32"/>
          <w14:textFill>
            <w14:solidFill>
              <w14:schemeClr w14:val="tx1"/>
            </w14:solidFill>
          </w14:textFill>
        </w:rPr>
        <w:t>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w:t>
      </w:r>
      <w:r>
        <w:rPr>
          <w:rFonts w:hint="eastAsia" w:ascii="Times New Roman" w:hAnsi="Times New Roman" w:eastAsia="方正仿宋_GBK" w:cs="Times New Roman"/>
          <w:color w:val="000000" w:themeColor="text1"/>
          <w:kern w:val="0"/>
          <w:sz w:val="32"/>
          <w:szCs w:val="32"/>
          <w14:textFill>
            <w14:solidFill>
              <w14:schemeClr w14:val="tx1"/>
            </w14:solidFill>
          </w14:textFill>
        </w:rPr>
        <w:t>年末</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下降</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35.7%</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r>
        <w:rPr>
          <w:rFonts w:ascii="Times New Roman" w:hAnsi="Times New Roman" w:eastAsia="方正仿宋_GBK" w:cs="Times New Roman"/>
          <w:color w:val="000000" w:themeColor="text1"/>
          <w:kern w:val="0"/>
          <w:sz w:val="32"/>
          <w:szCs w:val="32"/>
          <w14:textFill>
            <w14:solidFill>
              <w14:schemeClr w14:val="tx1"/>
            </w14:solidFill>
          </w14:textFill>
        </w:rPr>
        <w:t>从业人员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41人</w:t>
      </w:r>
      <w:r>
        <w:rPr>
          <w:rFonts w:ascii="Times New Roman" w:hAnsi="Times New Roman" w:eastAsia="方正仿宋_GBK" w:cs="Times New Roman"/>
          <w:color w:val="000000" w:themeColor="text1"/>
          <w:kern w:val="0"/>
          <w:sz w:val="32"/>
          <w:szCs w:val="32"/>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2018年末</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增长</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24.2</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（二）主要经济</w:t>
      </w:r>
      <w:r>
        <w:rPr>
          <w:rFonts w:ascii="Times New Roman" w:hAnsi="Times New Roman" w:eastAsia="方正仿宋_GBK" w:cs="Times New Roman"/>
          <w:color w:val="000000" w:themeColor="text1"/>
          <w:kern w:val="0"/>
          <w:sz w:val="32"/>
          <w:szCs w:val="32"/>
          <w14:textFill>
            <w14:solidFill>
              <w14:schemeClr w14:val="tx1"/>
            </w14:solidFill>
          </w14:textFill>
        </w:rPr>
        <w:t>指标</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2023</w:t>
      </w:r>
      <w:r>
        <w:rPr>
          <w:rFonts w:hint="eastAsia" w:ascii="Times New Roman" w:hAnsi="Times New Roman" w:eastAsia="方正仿宋_GBK" w:cs="Times New Roman"/>
          <w:color w:val="000000" w:themeColor="text1"/>
          <w:kern w:val="0"/>
          <w:sz w:val="32"/>
          <w:szCs w:val="32"/>
          <w14:textFill>
            <w14:solidFill>
              <w14:schemeClr w14:val="tx1"/>
            </w14:solidFill>
          </w14:textFill>
        </w:rPr>
        <w:t>年末，文化、体育和娱乐业企业法人单位资产总计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1345.3</w:t>
      </w:r>
      <w:r>
        <w:rPr>
          <w:rFonts w:hint="eastAsia" w:ascii="Times New Roman" w:hAnsi="Times New Roman" w:eastAsia="方正仿宋_GBK" w:cs="Times New Roman"/>
          <w:color w:val="000000" w:themeColor="text1"/>
          <w:sz w:val="32"/>
          <w:szCs w:val="32"/>
          <w14:textFill>
            <w14:solidFill>
              <w14:schemeClr w14:val="tx1"/>
            </w14:solidFill>
          </w14:textFill>
        </w:rPr>
        <w:t>万</w:t>
      </w:r>
      <w:r>
        <w:rPr>
          <w:rFonts w:hint="eastAsia" w:ascii="Times New Roman" w:hAnsi="Times New Roman" w:eastAsia="方正仿宋_GBK" w:cs="Times New Roman"/>
          <w:color w:val="000000" w:themeColor="text1"/>
          <w:kern w:val="0"/>
          <w:sz w:val="32"/>
          <w:szCs w:val="32"/>
          <w14:textFill>
            <w14:solidFill>
              <w14:schemeClr w14:val="tx1"/>
            </w14:solidFill>
          </w14:textFill>
        </w:rPr>
        <w:t>元，比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w:t>
      </w:r>
      <w:r>
        <w:rPr>
          <w:rFonts w:hint="eastAsia" w:ascii="Times New Roman" w:hAnsi="Times New Roman" w:eastAsia="方正仿宋_GBK" w:cs="Times New Roman"/>
          <w:color w:val="000000" w:themeColor="text1"/>
          <w:kern w:val="0"/>
          <w:sz w:val="32"/>
          <w:szCs w:val="32"/>
          <w14:textFill>
            <w14:solidFill>
              <w14:schemeClr w14:val="tx1"/>
            </w14:solidFill>
          </w14:textFill>
        </w:rPr>
        <w:t>年</w:t>
      </w:r>
      <w:r>
        <w:rPr>
          <w:rFonts w:ascii="Times New Roman" w:hAnsi="Times New Roman" w:eastAsia="方正仿宋_GBK" w:cs="Times New Roman"/>
          <w:color w:val="000000" w:themeColor="text1"/>
          <w:kern w:val="0"/>
          <w:sz w:val="32"/>
          <w:szCs w:val="32"/>
          <w14:textFill>
            <w14:solidFill>
              <w14:schemeClr w14:val="tx1"/>
            </w14:solidFill>
          </w14:textFill>
        </w:rPr>
        <w:t>增长</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3.22</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倍；</w:t>
      </w:r>
      <w:r>
        <w:rPr>
          <w:rFonts w:hint="eastAsia" w:ascii="Times New Roman" w:hAnsi="Times New Roman" w:eastAsia="方正仿宋_GBK" w:cs="Times New Roman"/>
          <w:color w:val="000000" w:themeColor="text1"/>
          <w:kern w:val="0"/>
          <w:sz w:val="32"/>
          <w:szCs w:val="32"/>
          <w14:textFill>
            <w14:solidFill>
              <w14:schemeClr w14:val="tx1"/>
            </w14:solidFill>
          </w14:textFill>
        </w:rPr>
        <w:t>负债合计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444.1</w:t>
      </w:r>
      <w:r>
        <w:rPr>
          <w:rFonts w:hint="eastAsia" w:ascii="Times New Roman" w:hAnsi="Times New Roman" w:eastAsia="方正仿宋_GBK" w:cs="Times New Roman"/>
          <w:color w:val="000000" w:themeColor="text1"/>
          <w:sz w:val="32"/>
          <w:szCs w:val="32"/>
          <w14:textFill>
            <w14:solidFill>
              <w14:schemeClr w14:val="tx1"/>
            </w14:solidFill>
          </w14:textFill>
        </w:rPr>
        <w:t>万</w:t>
      </w:r>
      <w:r>
        <w:rPr>
          <w:rFonts w:ascii="Times New Roman" w:hAnsi="Times New Roman" w:eastAsia="方正仿宋_GBK" w:cs="Times New Roman"/>
          <w:color w:val="000000" w:themeColor="text1"/>
          <w:kern w:val="0"/>
          <w:sz w:val="32"/>
          <w:szCs w:val="32"/>
          <w14:textFill>
            <w14:solidFill>
              <w14:schemeClr w14:val="tx1"/>
            </w14:solidFill>
          </w14:textFill>
        </w:rPr>
        <w:t>元</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2018年末增长6.4倍</w:t>
      </w:r>
      <w:r>
        <w:rPr>
          <w:rFonts w:ascii="Times New Roman" w:hAnsi="Times New Roman" w:eastAsia="方正仿宋_GBK" w:cs="Times New Roman"/>
          <w:color w:val="000000" w:themeColor="text1"/>
          <w:kern w:val="0"/>
          <w:sz w:val="32"/>
          <w:szCs w:val="32"/>
          <w14:textFill>
            <w14:solidFill>
              <w14:schemeClr w14:val="tx1"/>
            </w14:solidFill>
          </w14:textFill>
        </w:rPr>
        <w:t>。</w:t>
      </w:r>
      <w:r>
        <w:rPr>
          <w:rFonts w:hint="eastAsia" w:ascii="Times New Roman" w:hAnsi="Times New Roman" w:eastAsia="方正仿宋_GBK" w:cs="Times New Roman"/>
          <w:color w:val="000000" w:themeColor="text1"/>
          <w:kern w:val="0"/>
          <w:sz w:val="32"/>
          <w:szCs w:val="32"/>
          <w14:textFill>
            <w14:solidFill>
              <w14:schemeClr w14:val="tx1"/>
            </w14:solidFill>
          </w14:textFill>
        </w:rPr>
        <w:t>全年实现营业</w:t>
      </w:r>
      <w:r>
        <w:rPr>
          <w:rFonts w:ascii="Times New Roman" w:hAnsi="Times New Roman" w:eastAsia="方正仿宋_GBK" w:cs="Times New Roman"/>
          <w:color w:val="000000" w:themeColor="text1"/>
          <w:kern w:val="0"/>
          <w:sz w:val="32"/>
          <w:szCs w:val="32"/>
          <w14:textFill>
            <w14:solidFill>
              <w14:schemeClr w14:val="tx1"/>
            </w14:solidFill>
          </w14:textFill>
        </w:rPr>
        <w:t>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404.4</w:t>
      </w:r>
      <w:r>
        <w:rPr>
          <w:rFonts w:hint="eastAsia" w:ascii="Times New Roman" w:hAnsi="Times New Roman" w:eastAsia="方正仿宋_GBK" w:cs="Times New Roman"/>
          <w:color w:val="000000" w:themeColor="text1"/>
          <w:sz w:val="32"/>
          <w:szCs w:val="32"/>
          <w14:textFill>
            <w14:solidFill>
              <w14:schemeClr w14:val="tx1"/>
            </w14:solidFill>
          </w14:textFill>
        </w:rPr>
        <w:t>万</w:t>
      </w:r>
      <w:r>
        <w:rPr>
          <w:rFonts w:ascii="Times New Roman" w:hAnsi="Times New Roman" w:eastAsia="方正仿宋_GBK" w:cs="Times New Roman"/>
          <w:color w:val="000000" w:themeColor="text1"/>
          <w:kern w:val="0"/>
          <w:sz w:val="32"/>
          <w:szCs w:val="32"/>
          <w14:textFill>
            <w14:solidFill>
              <w14:schemeClr w14:val="tx1"/>
            </w14:solidFill>
          </w14:textFill>
        </w:rPr>
        <w:t>元</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2018年增长2.7倍</w:t>
      </w:r>
      <w:r>
        <w:rPr>
          <w:rFonts w:ascii="Times New Roman" w:hAnsi="Times New Roman" w:eastAsia="方正仿宋_GBK" w:cs="Times New Roman"/>
          <w:color w:val="000000" w:themeColor="text1"/>
          <w:kern w:val="0"/>
          <w:sz w:val="32"/>
          <w:szCs w:val="32"/>
          <w14:textFill>
            <w14:solidFill>
              <w14:schemeClr w14:val="tx1"/>
            </w14:solidFill>
          </w14:textFill>
        </w:rPr>
        <w:t>。</w:t>
      </w:r>
    </w:p>
    <w:p>
      <w:pPr>
        <w:pStyle w:val="2"/>
        <w:rPr>
          <w:rFonts w:hint="default" w:eastAsia="方正仿宋_GBK"/>
          <w:lang w:val="en-US" w:eastAsia="zh-CN"/>
        </w:rPr>
      </w:pP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行政事业及非企业法人单位年末资产</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0万元，本年支出（费用）合计0万元。</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方正黑体_GBK" w:hAnsi="方正黑体_GBK" w:eastAsia="方正黑体_GBK" w:cs="方正黑体_GBK"/>
          <w:b/>
          <w:bCs/>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bCs/>
          <w:color w:val="000000" w:themeColor="text1"/>
          <w:kern w:val="0"/>
          <w:sz w:val="32"/>
          <w:szCs w:val="32"/>
          <w14:textFill>
            <w14:solidFill>
              <w14:schemeClr w14:val="tx1"/>
            </w14:solidFill>
          </w14:textFill>
        </w:rPr>
        <w:t>七、公共管理、社会保障和社会组织</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2023</w:t>
      </w:r>
      <w:r>
        <w:rPr>
          <w:rFonts w:hint="eastAsia" w:ascii="Times New Roman" w:hAnsi="Times New Roman" w:eastAsia="方正仿宋_GBK" w:cs="Times New Roman"/>
          <w:color w:val="000000" w:themeColor="text1"/>
          <w:kern w:val="0"/>
          <w:sz w:val="32"/>
          <w:szCs w:val="32"/>
          <w14:textFill>
            <w14:solidFill>
              <w14:schemeClr w14:val="tx1"/>
            </w14:solidFill>
          </w14:textFill>
        </w:rPr>
        <w:t>年末，全县共有公共管理、社会保障和社会组织法人单位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264</w:t>
      </w:r>
      <w:r>
        <w:rPr>
          <w:rFonts w:hint="eastAsia" w:ascii="Times New Roman" w:hAnsi="Times New Roman" w:eastAsia="方正仿宋_GBK" w:cs="Times New Roman"/>
          <w:color w:val="000000" w:themeColor="text1"/>
          <w:kern w:val="0"/>
          <w:sz w:val="32"/>
          <w:szCs w:val="32"/>
          <w14:textFill>
            <w14:solidFill>
              <w14:schemeClr w14:val="tx1"/>
            </w14:solidFill>
          </w14:textFill>
        </w:rPr>
        <w:t>个，比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2018</w:t>
      </w:r>
      <w:r>
        <w:rPr>
          <w:rFonts w:hint="eastAsia" w:ascii="Times New Roman" w:hAnsi="Times New Roman" w:eastAsia="方正仿宋_GBK" w:cs="Times New Roman"/>
          <w:color w:val="000000" w:themeColor="text1"/>
          <w:kern w:val="0"/>
          <w:sz w:val="32"/>
          <w:szCs w:val="32"/>
          <w14:textFill>
            <w14:solidFill>
              <w14:schemeClr w14:val="tx1"/>
            </w14:solidFill>
          </w14:textFill>
        </w:rPr>
        <w:t>年末</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下降</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4.0</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14:textFill>
            <w14:solidFill>
              <w14:schemeClr w14:val="tx1"/>
            </w14:solidFill>
          </w14:textFill>
        </w:rPr>
        <w:t>从业人员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3390</w:t>
      </w:r>
      <w:r>
        <w:rPr>
          <w:rFonts w:hint="eastAsia" w:ascii="Times New Roman" w:hAnsi="Times New Roman" w:eastAsia="方正仿宋_GBK" w:cs="Times New Roman"/>
          <w:color w:val="000000" w:themeColor="text1"/>
          <w:kern w:val="0"/>
          <w:sz w:val="32"/>
          <w:szCs w:val="32"/>
          <w14:textFill>
            <w14:solidFill>
              <w14:schemeClr w14:val="tx1"/>
            </w14:solidFill>
          </w14:textFill>
        </w:rPr>
        <w:t>人，</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增长</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3.4</w:t>
      </w:r>
      <w:r>
        <w:rPr>
          <w:rFonts w:hint="eastAsia" w:ascii="Times New Roman" w:hAnsi="Times New Roman" w:eastAsia="方正仿宋_GBK" w:cs="Times New Roman"/>
          <w:color w:val="000000" w:themeColor="text1"/>
          <w:kern w:val="0"/>
          <w:sz w:val="32"/>
          <w:szCs w:val="32"/>
          <w14:textFill>
            <w14:solidFill>
              <w14:schemeClr w14:val="tx1"/>
            </w14:solidFill>
          </w14:textFill>
        </w:rPr>
        <w:t>%。行政事业及非企业法人单位的本年支出（费用）合计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142000万</w:t>
      </w:r>
      <w:r>
        <w:rPr>
          <w:rFonts w:hint="eastAsia" w:ascii="Times New Roman" w:hAnsi="Times New Roman" w:eastAsia="方正仿宋_GBK" w:cs="Times New Roman"/>
          <w:color w:val="000000" w:themeColor="text1"/>
          <w:kern w:val="0"/>
          <w:sz w:val="32"/>
          <w:szCs w:val="32"/>
          <w14:textFill>
            <w14:solidFill>
              <w14:schemeClr w14:val="tx1"/>
            </w14:solidFill>
          </w14:textFill>
        </w:rPr>
        <w:t>元</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 xml:space="preserve">2018年增长18.0%。 </w:t>
      </w:r>
    </w:p>
    <w:p>
      <w:pPr>
        <w:widowControl/>
        <w:spacing w:line="600" w:lineRule="exact"/>
        <w:ind w:firstLine="560" w:firstLineChars="200"/>
        <w:rPr>
          <w:rFonts w:ascii="Times New Roman" w:hAnsi="Times New Roman" w:eastAsia="黑体" w:cs="Times New Roman"/>
          <w:color w:val="000000" w:themeColor="text1"/>
          <w:kern w:val="0"/>
          <w:sz w:val="28"/>
          <w:szCs w:val="28"/>
          <w14:textFill>
            <w14:solidFill>
              <w14:schemeClr w14:val="tx1"/>
            </w14:solidFill>
          </w14:textFill>
        </w:rPr>
      </w:pPr>
      <w:r>
        <w:rPr>
          <w:rFonts w:hint="eastAsia" w:ascii="Times New Roman" w:hAnsi="Times New Roman" w:eastAsia="黑体" w:cs="Times New Roman"/>
          <w:color w:val="000000" w:themeColor="text1"/>
          <w:kern w:val="0"/>
          <w:sz w:val="28"/>
          <w:szCs w:val="28"/>
          <w14:textFill>
            <w14:solidFill>
              <w14:schemeClr w14:val="tx1"/>
            </w14:solidFill>
          </w14:textFill>
        </w:rPr>
        <w:t>注释：</w:t>
      </w:r>
    </w:p>
    <w:p>
      <w:pPr>
        <w:widowControl/>
        <w:spacing w:line="600" w:lineRule="exact"/>
        <w:ind w:firstLine="560" w:firstLineChars="20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[1]本公报中的行政事业及非企业法人单位，不包括执行企业会计制度的事业法人单位、民办非企业法人单位和基金会，农民专业合作社，农村集体经济组织和除宗教活动场所以外的机构类型为其他组织机构的法人单位。</w:t>
      </w:r>
    </w:p>
    <w:p>
      <w:pPr>
        <w:widowControl/>
        <w:spacing w:line="600" w:lineRule="exact"/>
        <w:ind w:firstLine="560" w:firstLineChars="20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登记注册统计类别：根据国家统计局、国家市场监督管理总局《关于市场主体统计分类的划分规定》（国统字〔2023〕14号）确定，包括内资企业、港澳台投资企业和外商投资企业，以及农民专业合作社（联合社）等其他统计类别。</w:t>
      </w:r>
    </w:p>
    <w:p>
      <w:pPr>
        <w:widowControl/>
        <w:spacing w:line="600" w:lineRule="exact"/>
        <w:ind w:firstLine="560" w:firstLineChars="20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[3]表中的合计数和部分计算数据因小数取舍而产生的误差，均未作机械调整。为保证数据精确度，个别数据保留2位小数。</w:t>
      </w:r>
    </w:p>
    <w:p>
      <w:pPr>
        <w:widowControl/>
        <w:spacing w:line="600" w:lineRule="exact"/>
        <w:ind w:firstLine="560" w:firstLineChars="200"/>
        <w:rPr>
          <w:rFonts w:hint="eastAsia" w:ascii="Times New Roman" w:hAnsi="Times New Roman" w:eastAsia="仿宋_GB2312" w:cs="Times New Roman"/>
          <w:color w:val="auto"/>
          <w:kern w:val="0"/>
          <w:sz w:val="28"/>
          <w:szCs w:val="28"/>
          <w:lang w:val="en-US"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方正仿宋_GBK" w:hAnsi="方正仿宋_GBK" w:eastAsia="方正仿宋_GBK" w:cs="方正仿宋_GBK"/>
                            </w:rPr>
                          </w:pPr>
                          <w:r>
                            <w:rPr>
                              <w:rFonts w:hint="eastAsia" w:ascii="方正仿宋_GBK" w:hAnsi="方正仿宋_GBK" w:eastAsia="方正仿宋_GBK" w:cs="方正仿宋_GBK"/>
                            </w:rPr>
                            <w:t xml:space="preserve">— </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  \* MERGEFORMAT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方正仿宋_GBK" w:hAnsi="方正仿宋_GBK" w:eastAsia="方正仿宋_GBK" w:cs="方正仿宋_GBK"/>
                      </w:rPr>
                    </w:pPr>
                    <w:r>
                      <w:rPr>
                        <w:rFonts w:hint="eastAsia" w:ascii="方正仿宋_GBK" w:hAnsi="方正仿宋_GBK" w:eastAsia="方正仿宋_GBK" w:cs="方正仿宋_GBK"/>
                      </w:rPr>
                      <w:t xml:space="preserve">— </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  \* MERGEFORMAT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6"/>
        <w:snapToGrid w:val="0"/>
        <w:spacing w:line="240" w:lineRule="auto"/>
        <w:ind w:firstLine="0" w:firstLineChars="0"/>
        <w:jc w:val="both"/>
        <w:textAlignment w:val="auto"/>
        <w:rPr>
          <w:rStyle w:val="10"/>
          <w:rFonts w:hint="eastAsia" w:eastAsia="宋体" w:cs="Times New Roman"/>
          <w:szCs w:val="18"/>
          <w:vertAlign w:val="superscript"/>
          <w:lang w:val="en-US" w:eastAsia="zh-CN"/>
        </w:rPr>
      </w:pPr>
      <w:r>
        <w:rPr>
          <w:rStyle w:val="10"/>
          <w:rFonts w:hint="eastAsia" w:ascii="Calibri" w:hAnsi="Calibri" w:eastAsia="宋体" w:cs="Times New Roman"/>
          <w:vertAlign w:val="superscript"/>
          <w:lang w:val="en-US" w:eastAsia="zh-CN"/>
        </w:rPr>
        <w:footnoteRef/>
      </w:r>
      <w:r>
        <w:rPr>
          <w:rStyle w:val="10"/>
          <w:rFonts w:hint="eastAsia" w:ascii="Calibri" w:hAnsi="Calibri" w:eastAsia="宋体" w:cs="Times New Roman"/>
          <w:vertAlign w:val="superscript"/>
          <w:lang w:val="en-US" w:eastAsia="zh-CN"/>
        </w:rPr>
        <w:t xml:space="preserve"> </w:t>
      </w:r>
      <w:r>
        <w:rPr>
          <w:rStyle w:val="10"/>
          <w:rFonts w:hint="eastAsia" w:eastAsia="宋体" w:cs="Times New Roman"/>
          <w:szCs w:val="18"/>
          <w:vertAlign w:val="baseline"/>
          <w:lang w:val="en-US" w:eastAsia="zh-CN"/>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35EC3"/>
    <w:multiLevelType w:val="singleLevel"/>
    <w:tmpl w:val="9FD35EC3"/>
    <w:lvl w:ilvl="0" w:tentative="0">
      <w:start w:val="2"/>
      <w:numFmt w:val="chineseCounting"/>
      <w:suff w:val="nothing"/>
      <w:lvlText w:val="（%1）"/>
      <w:lvlJc w:val="left"/>
      <w:rPr>
        <w:rFonts w:hint="eastAsia"/>
      </w:rPr>
    </w:lvl>
  </w:abstractNum>
  <w:abstractNum w:abstractNumId="1">
    <w:nsid w:val="B7356D75"/>
    <w:multiLevelType w:val="singleLevel"/>
    <w:tmpl w:val="B7356D7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360BD"/>
    <w:rsid w:val="008102F1"/>
    <w:rsid w:val="00950240"/>
    <w:rsid w:val="00E13486"/>
    <w:rsid w:val="01001B5E"/>
    <w:rsid w:val="018A7679"/>
    <w:rsid w:val="0213766F"/>
    <w:rsid w:val="0216715F"/>
    <w:rsid w:val="02B250DA"/>
    <w:rsid w:val="02C46BBB"/>
    <w:rsid w:val="02C62933"/>
    <w:rsid w:val="0394658D"/>
    <w:rsid w:val="03B66504"/>
    <w:rsid w:val="03F11C32"/>
    <w:rsid w:val="03F1578E"/>
    <w:rsid w:val="03FB660C"/>
    <w:rsid w:val="044C6E68"/>
    <w:rsid w:val="04E90B5B"/>
    <w:rsid w:val="05810D93"/>
    <w:rsid w:val="05D830A9"/>
    <w:rsid w:val="05FE2CE1"/>
    <w:rsid w:val="063876A4"/>
    <w:rsid w:val="064222D0"/>
    <w:rsid w:val="06E4782C"/>
    <w:rsid w:val="07027CB2"/>
    <w:rsid w:val="070D0B30"/>
    <w:rsid w:val="07131EBF"/>
    <w:rsid w:val="073C7668"/>
    <w:rsid w:val="0777244E"/>
    <w:rsid w:val="0808579C"/>
    <w:rsid w:val="082A3964"/>
    <w:rsid w:val="0874698D"/>
    <w:rsid w:val="089F1C5C"/>
    <w:rsid w:val="08A94889"/>
    <w:rsid w:val="08D00067"/>
    <w:rsid w:val="096133B5"/>
    <w:rsid w:val="09B434E5"/>
    <w:rsid w:val="09ED69F7"/>
    <w:rsid w:val="0A3E7253"/>
    <w:rsid w:val="0A426D43"/>
    <w:rsid w:val="0A544CC8"/>
    <w:rsid w:val="0A5D1DCF"/>
    <w:rsid w:val="0A7D7D7B"/>
    <w:rsid w:val="0B212DFC"/>
    <w:rsid w:val="0B664CB3"/>
    <w:rsid w:val="0B7A075E"/>
    <w:rsid w:val="0B8213C1"/>
    <w:rsid w:val="0B957346"/>
    <w:rsid w:val="0BF95B27"/>
    <w:rsid w:val="0C7E7DDA"/>
    <w:rsid w:val="0CEC568C"/>
    <w:rsid w:val="0D18022F"/>
    <w:rsid w:val="0D3D1A44"/>
    <w:rsid w:val="0D6D057B"/>
    <w:rsid w:val="0DC14423"/>
    <w:rsid w:val="0DD405FA"/>
    <w:rsid w:val="0DDC74AE"/>
    <w:rsid w:val="0E213113"/>
    <w:rsid w:val="0E2844A2"/>
    <w:rsid w:val="0E603C3C"/>
    <w:rsid w:val="0EAF071F"/>
    <w:rsid w:val="0EFE5203"/>
    <w:rsid w:val="0F2A424A"/>
    <w:rsid w:val="0F346E76"/>
    <w:rsid w:val="0FED14FF"/>
    <w:rsid w:val="10E01064"/>
    <w:rsid w:val="11515ABE"/>
    <w:rsid w:val="11F748B7"/>
    <w:rsid w:val="12AA1929"/>
    <w:rsid w:val="12E12E71"/>
    <w:rsid w:val="1319260B"/>
    <w:rsid w:val="139F6FB4"/>
    <w:rsid w:val="13C62793"/>
    <w:rsid w:val="13F35552"/>
    <w:rsid w:val="14353475"/>
    <w:rsid w:val="14771CDF"/>
    <w:rsid w:val="14C03686"/>
    <w:rsid w:val="14CD5DA3"/>
    <w:rsid w:val="14EA24B1"/>
    <w:rsid w:val="15121A08"/>
    <w:rsid w:val="15695ACC"/>
    <w:rsid w:val="16041350"/>
    <w:rsid w:val="165D6CB3"/>
    <w:rsid w:val="1662251B"/>
    <w:rsid w:val="16E55626"/>
    <w:rsid w:val="17051824"/>
    <w:rsid w:val="17343EB7"/>
    <w:rsid w:val="179B7A92"/>
    <w:rsid w:val="17E4768B"/>
    <w:rsid w:val="185815FC"/>
    <w:rsid w:val="18B03A11"/>
    <w:rsid w:val="19391EA1"/>
    <w:rsid w:val="19856C4C"/>
    <w:rsid w:val="198804EA"/>
    <w:rsid w:val="19B94B48"/>
    <w:rsid w:val="1A514D80"/>
    <w:rsid w:val="1A5B175B"/>
    <w:rsid w:val="1AAD645B"/>
    <w:rsid w:val="1AC92B69"/>
    <w:rsid w:val="1AEC6857"/>
    <w:rsid w:val="1B6805D3"/>
    <w:rsid w:val="1B860A5A"/>
    <w:rsid w:val="1B903686"/>
    <w:rsid w:val="1B9A62B3"/>
    <w:rsid w:val="1BD9502D"/>
    <w:rsid w:val="1BE0460E"/>
    <w:rsid w:val="1BEC4D61"/>
    <w:rsid w:val="1C71170A"/>
    <w:rsid w:val="1CBA6C0D"/>
    <w:rsid w:val="1CCB706C"/>
    <w:rsid w:val="1CE819CC"/>
    <w:rsid w:val="1D291FE4"/>
    <w:rsid w:val="1D4B5AB7"/>
    <w:rsid w:val="1E2F7187"/>
    <w:rsid w:val="1E312EFF"/>
    <w:rsid w:val="1F227FC8"/>
    <w:rsid w:val="1F4C5B16"/>
    <w:rsid w:val="200A7EAB"/>
    <w:rsid w:val="204809D3"/>
    <w:rsid w:val="2091237A"/>
    <w:rsid w:val="20AA343C"/>
    <w:rsid w:val="21635AC5"/>
    <w:rsid w:val="21645399"/>
    <w:rsid w:val="21771570"/>
    <w:rsid w:val="21C347B6"/>
    <w:rsid w:val="21C85928"/>
    <w:rsid w:val="21E12E8E"/>
    <w:rsid w:val="21E85FCA"/>
    <w:rsid w:val="2208041A"/>
    <w:rsid w:val="22FF7A6F"/>
    <w:rsid w:val="233F1C1A"/>
    <w:rsid w:val="23A203FB"/>
    <w:rsid w:val="23AB72AF"/>
    <w:rsid w:val="23D06D16"/>
    <w:rsid w:val="23D26F32"/>
    <w:rsid w:val="246F4781"/>
    <w:rsid w:val="2480073C"/>
    <w:rsid w:val="24AC1531"/>
    <w:rsid w:val="24E8008F"/>
    <w:rsid w:val="252437BD"/>
    <w:rsid w:val="257C53A7"/>
    <w:rsid w:val="26127ABA"/>
    <w:rsid w:val="26D44D6F"/>
    <w:rsid w:val="2705317A"/>
    <w:rsid w:val="277B343D"/>
    <w:rsid w:val="278A3680"/>
    <w:rsid w:val="27CC3C98"/>
    <w:rsid w:val="27D668C5"/>
    <w:rsid w:val="28247630"/>
    <w:rsid w:val="286D547B"/>
    <w:rsid w:val="289E5635"/>
    <w:rsid w:val="289F315B"/>
    <w:rsid w:val="28AC5FA3"/>
    <w:rsid w:val="28D64DCE"/>
    <w:rsid w:val="28DE3C83"/>
    <w:rsid w:val="28EF5E90"/>
    <w:rsid w:val="28F2772E"/>
    <w:rsid w:val="2927387C"/>
    <w:rsid w:val="295B3526"/>
    <w:rsid w:val="29673C78"/>
    <w:rsid w:val="29FA689B"/>
    <w:rsid w:val="29FB0865"/>
    <w:rsid w:val="2A0B6CFA"/>
    <w:rsid w:val="2A1D07DB"/>
    <w:rsid w:val="2A225DF1"/>
    <w:rsid w:val="2AB90504"/>
    <w:rsid w:val="2B1E2A5D"/>
    <w:rsid w:val="2B326508"/>
    <w:rsid w:val="2B561A4F"/>
    <w:rsid w:val="2BBF5FEE"/>
    <w:rsid w:val="2C0E2AD1"/>
    <w:rsid w:val="2C1C51EE"/>
    <w:rsid w:val="2C471B3F"/>
    <w:rsid w:val="2C5524AE"/>
    <w:rsid w:val="2C5C383D"/>
    <w:rsid w:val="2C8F04D2"/>
    <w:rsid w:val="2D2D6F87"/>
    <w:rsid w:val="2D4542D1"/>
    <w:rsid w:val="2D8D5C78"/>
    <w:rsid w:val="2DA90D03"/>
    <w:rsid w:val="2E100D83"/>
    <w:rsid w:val="2E586286"/>
    <w:rsid w:val="2E5C3FC8"/>
    <w:rsid w:val="2E6B420B"/>
    <w:rsid w:val="2E862DF3"/>
    <w:rsid w:val="2EDC6EB7"/>
    <w:rsid w:val="2EEE0998"/>
    <w:rsid w:val="2EF35FAE"/>
    <w:rsid w:val="2FB67708"/>
    <w:rsid w:val="2FD858D0"/>
    <w:rsid w:val="30297EDA"/>
    <w:rsid w:val="3102072B"/>
    <w:rsid w:val="313034EA"/>
    <w:rsid w:val="324C6101"/>
    <w:rsid w:val="324C7EAF"/>
    <w:rsid w:val="326E7E26"/>
    <w:rsid w:val="32780CA4"/>
    <w:rsid w:val="329B0E37"/>
    <w:rsid w:val="32A001FB"/>
    <w:rsid w:val="3333106F"/>
    <w:rsid w:val="336E3E55"/>
    <w:rsid w:val="33C1667B"/>
    <w:rsid w:val="33CD2241"/>
    <w:rsid w:val="34A2025B"/>
    <w:rsid w:val="34B47F8E"/>
    <w:rsid w:val="34B8182C"/>
    <w:rsid w:val="34C33DD2"/>
    <w:rsid w:val="34EF0FC6"/>
    <w:rsid w:val="3578720D"/>
    <w:rsid w:val="3592207D"/>
    <w:rsid w:val="35BF6BEA"/>
    <w:rsid w:val="35D5640E"/>
    <w:rsid w:val="35DF103A"/>
    <w:rsid w:val="366D4898"/>
    <w:rsid w:val="366F23BE"/>
    <w:rsid w:val="3676374D"/>
    <w:rsid w:val="367B5207"/>
    <w:rsid w:val="36D53265"/>
    <w:rsid w:val="370C2303"/>
    <w:rsid w:val="37623CD1"/>
    <w:rsid w:val="37D44BCF"/>
    <w:rsid w:val="383E64EC"/>
    <w:rsid w:val="38523D46"/>
    <w:rsid w:val="38754708"/>
    <w:rsid w:val="38AF2F46"/>
    <w:rsid w:val="38D806EF"/>
    <w:rsid w:val="3934169D"/>
    <w:rsid w:val="396B3311"/>
    <w:rsid w:val="39812B34"/>
    <w:rsid w:val="39BC3B6C"/>
    <w:rsid w:val="3A013C75"/>
    <w:rsid w:val="3A7206CF"/>
    <w:rsid w:val="3A7B57D6"/>
    <w:rsid w:val="3AD13648"/>
    <w:rsid w:val="3AF56806"/>
    <w:rsid w:val="3AFD61EB"/>
    <w:rsid w:val="3B4200A1"/>
    <w:rsid w:val="3B506C62"/>
    <w:rsid w:val="3B732951"/>
    <w:rsid w:val="3B936B4F"/>
    <w:rsid w:val="3C37572C"/>
    <w:rsid w:val="3C3D4DB8"/>
    <w:rsid w:val="3CB97070"/>
    <w:rsid w:val="3CD72A6B"/>
    <w:rsid w:val="3D141F11"/>
    <w:rsid w:val="3D1E069A"/>
    <w:rsid w:val="3D840E45"/>
    <w:rsid w:val="3DD0408A"/>
    <w:rsid w:val="3E2E0DB1"/>
    <w:rsid w:val="3E3C2FD9"/>
    <w:rsid w:val="3E646581"/>
    <w:rsid w:val="3E970704"/>
    <w:rsid w:val="3EB43064"/>
    <w:rsid w:val="3EEF22EE"/>
    <w:rsid w:val="40552625"/>
    <w:rsid w:val="40640ABA"/>
    <w:rsid w:val="409475F1"/>
    <w:rsid w:val="40DE086C"/>
    <w:rsid w:val="417E3DFD"/>
    <w:rsid w:val="42890CAC"/>
    <w:rsid w:val="42AE426E"/>
    <w:rsid w:val="42F425C9"/>
    <w:rsid w:val="43140575"/>
    <w:rsid w:val="438337CE"/>
    <w:rsid w:val="447C2876"/>
    <w:rsid w:val="44BC2C73"/>
    <w:rsid w:val="44E87F0C"/>
    <w:rsid w:val="452D3B70"/>
    <w:rsid w:val="4550785F"/>
    <w:rsid w:val="45684BA8"/>
    <w:rsid w:val="457C68A6"/>
    <w:rsid w:val="45813EBC"/>
    <w:rsid w:val="45BE0C6C"/>
    <w:rsid w:val="464F7B16"/>
    <w:rsid w:val="46955E71"/>
    <w:rsid w:val="471843AC"/>
    <w:rsid w:val="475E44B5"/>
    <w:rsid w:val="47631ACB"/>
    <w:rsid w:val="477535AD"/>
    <w:rsid w:val="47947ED7"/>
    <w:rsid w:val="47A345BE"/>
    <w:rsid w:val="486C2C02"/>
    <w:rsid w:val="48C77E38"/>
    <w:rsid w:val="48F87733"/>
    <w:rsid w:val="49033566"/>
    <w:rsid w:val="494E0559"/>
    <w:rsid w:val="498E0956"/>
    <w:rsid w:val="49920446"/>
    <w:rsid w:val="49AA39E1"/>
    <w:rsid w:val="49BF6D61"/>
    <w:rsid w:val="49EB5DA8"/>
    <w:rsid w:val="4A7B537E"/>
    <w:rsid w:val="4ADB7BCB"/>
    <w:rsid w:val="4BBE19C6"/>
    <w:rsid w:val="4C222A0D"/>
    <w:rsid w:val="4C673E0C"/>
    <w:rsid w:val="4D4203D5"/>
    <w:rsid w:val="4D5A571F"/>
    <w:rsid w:val="4DCD5EF0"/>
    <w:rsid w:val="4E233D62"/>
    <w:rsid w:val="4E437F61"/>
    <w:rsid w:val="4E54216E"/>
    <w:rsid w:val="4EE01C53"/>
    <w:rsid w:val="4EEA0D24"/>
    <w:rsid w:val="4F251D5C"/>
    <w:rsid w:val="4F367AC5"/>
    <w:rsid w:val="4F624D5E"/>
    <w:rsid w:val="4FB8672C"/>
    <w:rsid w:val="4FBD1F95"/>
    <w:rsid w:val="4FD21D90"/>
    <w:rsid w:val="506B7C43"/>
    <w:rsid w:val="50F11EF6"/>
    <w:rsid w:val="51493AE0"/>
    <w:rsid w:val="516C77CE"/>
    <w:rsid w:val="51BF0246"/>
    <w:rsid w:val="51CB0999"/>
    <w:rsid w:val="51D6733E"/>
    <w:rsid w:val="52181704"/>
    <w:rsid w:val="52391DA6"/>
    <w:rsid w:val="52903990"/>
    <w:rsid w:val="52D7511B"/>
    <w:rsid w:val="52E00474"/>
    <w:rsid w:val="52E57838"/>
    <w:rsid w:val="53206AC2"/>
    <w:rsid w:val="533D7674"/>
    <w:rsid w:val="534A3B3F"/>
    <w:rsid w:val="53966D85"/>
    <w:rsid w:val="541303D5"/>
    <w:rsid w:val="5453431B"/>
    <w:rsid w:val="547A0454"/>
    <w:rsid w:val="54CB6F02"/>
    <w:rsid w:val="550F5041"/>
    <w:rsid w:val="552F123F"/>
    <w:rsid w:val="568F468B"/>
    <w:rsid w:val="56B22127"/>
    <w:rsid w:val="56E85B49"/>
    <w:rsid w:val="574F3E1A"/>
    <w:rsid w:val="57790E97"/>
    <w:rsid w:val="57FF75EE"/>
    <w:rsid w:val="58093FC9"/>
    <w:rsid w:val="5814296E"/>
    <w:rsid w:val="584A6390"/>
    <w:rsid w:val="58711B6E"/>
    <w:rsid w:val="58C3061C"/>
    <w:rsid w:val="58F06F37"/>
    <w:rsid w:val="59941FB8"/>
    <w:rsid w:val="59BE7035"/>
    <w:rsid w:val="59C52172"/>
    <w:rsid w:val="59D979CB"/>
    <w:rsid w:val="5A0A227A"/>
    <w:rsid w:val="5A843DDB"/>
    <w:rsid w:val="5A90452E"/>
    <w:rsid w:val="5AC42429"/>
    <w:rsid w:val="5AF32D0E"/>
    <w:rsid w:val="5B152C85"/>
    <w:rsid w:val="5B2353A2"/>
    <w:rsid w:val="5BC528FD"/>
    <w:rsid w:val="5BE82147"/>
    <w:rsid w:val="5C294C3A"/>
    <w:rsid w:val="5C4C26D6"/>
    <w:rsid w:val="5C9A1694"/>
    <w:rsid w:val="5CA73DB1"/>
    <w:rsid w:val="5CDA5F34"/>
    <w:rsid w:val="5CDC1CAC"/>
    <w:rsid w:val="5D7E0FB5"/>
    <w:rsid w:val="5DA36C6E"/>
    <w:rsid w:val="5E895E64"/>
    <w:rsid w:val="5EC96260"/>
    <w:rsid w:val="5F265461"/>
    <w:rsid w:val="5F5F0972"/>
    <w:rsid w:val="5F830B05"/>
    <w:rsid w:val="5FA12D39"/>
    <w:rsid w:val="600A4D82"/>
    <w:rsid w:val="60936B26"/>
    <w:rsid w:val="60D96503"/>
    <w:rsid w:val="60EA6962"/>
    <w:rsid w:val="613C7C81"/>
    <w:rsid w:val="619A2136"/>
    <w:rsid w:val="61AD3C17"/>
    <w:rsid w:val="61DC5DE4"/>
    <w:rsid w:val="620D2908"/>
    <w:rsid w:val="624A590A"/>
    <w:rsid w:val="62B114E5"/>
    <w:rsid w:val="62C0797A"/>
    <w:rsid w:val="62DB2A06"/>
    <w:rsid w:val="636C18B0"/>
    <w:rsid w:val="637D3ABD"/>
    <w:rsid w:val="63B079EF"/>
    <w:rsid w:val="64370110"/>
    <w:rsid w:val="643C74D4"/>
    <w:rsid w:val="646D58E0"/>
    <w:rsid w:val="64C01EB3"/>
    <w:rsid w:val="64C574CA"/>
    <w:rsid w:val="65051FBC"/>
    <w:rsid w:val="652561BA"/>
    <w:rsid w:val="65385EEE"/>
    <w:rsid w:val="653B3C30"/>
    <w:rsid w:val="662F72F1"/>
    <w:rsid w:val="66DC0AFB"/>
    <w:rsid w:val="674072DB"/>
    <w:rsid w:val="67423054"/>
    <w:rsid w:val="68152516"/>
    <w:rsid w:val="68757459"/>
    <w:rsid w:val="69886D18"/>
    <w:rsid w:val="6A154A4F"/>
    <w:rsid w:val="6A4B0471"/>
    <w:rsid w:val="6AA54025"/>
    <w:rsid w:val="6AF64881"/>
    <w:rsid w:val="6B3158B9"/>
    <w:rsid w:val="6B4B624F"/>
    <w:rsid w:val="6B563571"/>
    <w:rsid w:val="6BD91AAD"/>
    <w:rsid w:val="6C3118E9"/>
    <w:rsid w:val="6C313697"/>
    <w:rsid w:val="6C4E249B"/>
    <w:rsid w:val="6C5E0930"/>
    <w:rsid w:val="6C9D2ADA"/>
    <w:rsid w:val="6D013069"/>
    <w:rsid w:val="6D413DAD"/>
    <w:rsid w:val="6D934609"/>
    <w:rsid w:val="6D943EDD"/>
    <w:rsid w:val="6DDE17C1"/>
    <w:rsid w:val="6DFD5F26"/>
    <w:rsid w:val="6E054DDB"/>
    <w:rsid w:val="6E7A7577"/>
    <w:rsid w:val="6EE42C42"/>
    <w:rsid w:val="6F2F210F"/>
    <w:rsid w:val="6F5558EE"/>
    <w:rsid w:val="6F5A2F04"/>
    <w:rsid w:val="6F6D2C38"/>
    <w:rsid w:val="6FF611FB"/>
    <w:rsid w:val="6FF70753"/>
    <w:rsid w:val="71241A1C"/>
    <w:rsid w:val="719B1CDE"/>
    <w:rsid w:val="71AD1A11"/>
    <w:rsid w:val="71DC5E53"/>
    <w:rsid w:val="71FC02A3"/>
    <w:rsid w:val="7249798C"/>
    <w:rsid w:val="7289287A"/>
    <w:rsid w:val="72DA05E4"/>
    <w:rsid w:val="7349576A"/>
    <w:rsid w:val="7355410F"/>
    <w:rsid w:val="749D7B1B"/>
    <w:rsid w:val="74BD01BD"/>
    <w:rsid w:val="74C4154C"/>
    <w:rsid w:val="76AE4262"/>
    <w:rsid w:val="76BB24DB"/>
    <w:rsid w:val="773F135E"/>
    <w:rsid w:val="781400F4"/>
    <w:rsid w:val="78D41F79"/>
    <w:rsid w:val="79393B8B"/>
    <w:rsid w:val="79A731EA"/>
    <w:rsid w:val="79ED50A1"/>
    <w:rsid w:val="7A1E34AC"/>
    <w:rsid w:val="7A592736"/>
    <w:rsid w:val="7B4909FD"/>
    <w:rsid w:val="7B580C40"/>
    <w:rsid w:val="7BA43E85"/>
    <w:rsid w:val="7BB35E76"/>
    <w:rsid w:val="7BE10C35"/>
    <w:rsid w:val="7BEC3136"/>
    <w:rsid w:val="7C39281F"/>
    <w:rsid w:val="7C5E4034"/>
    <w:rsid w:val="7C6F6241"/>
    <w:rsid w:val="7CB5375E"/>
    <w:rsid w:val="7D0C3AA3"/>
    <w:rsid w:val="7D2863F0"/>
    <w:rsid w:val="7E0E1A8A"/>
    <w:rsid w:val="7E5E47BF"/>
    <w:rsid w:val="7EEF71C5"/>
    <w:rsid w:val="7F480FCB"/>
    <w:rsid w:val="7F604567"/>
    <w:rsid w:val="7F7F2C3F"/>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unhideWhenUsed/>
    <w:qFormat/>
    <w:uiPriority w:val="99"/>
    <w:pPr>
      <w:snapToGrid w:val="0"/>
      <w:jc w:val="left"/>
    </w:pPr>
    <w:rPr>
      <w:sz w:val="18"/>
    </w:rPr>
  </w:style>
  <w:style w:type="paragraph" w:styleId="7">
    <w:name w:val="Title"/>
    <w:basedOn w:val="1"/>
    <w:next w:val="1"/>
    <w:qFormat/>
    <w:uiPriority w:val="0"/>
    <w:pPr>
      <w:spacing w:before="240" w:after="60"/>
      <w:jc w:val="center"/>
      <w:outlineLvl w:val="0"/>
    </w:pPr>
    <w:rPr>
      <w:rFonts w:ascii="Calibri Light" w:hAnsi="Calibri Light" w:eastAsia="宋体" w:cs="Times New Roman"/>
      <w:b/>
      <w:bCs/>
      <w:kern w:val="0"/>
      <w:sz w:val="32"/>
      <w:szCs w:val="32"/>
    </w:rPr>
  </w:style>
  <w:style w:type="character" w:styleId="10">
    <w:name w:val="footnote reference"/>
    <w:basedOn w:val="9"/>
    <w:unhideWhenUsed/>
    <w:qFormat/>
    <w:uiPriority w:val="99"/>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2470</Words>
  <Characters>3062</Characters>
  <Lines>0</Lines>
  <Paragraphs>0</Paragraphs>
  <TotalTime>119</TotalTime>
  <ScaleCrop>false</ScaleCrop>
  <LinksUpToDate>false</LinksUpToDate>
  <CharactersWithSpaces>3093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2025-04-04T01:45:00Z</dcterms:created>
  <dc:creator>Administrator</dc:creator>
  <cp:lastModifiedBy>Administrator</cp:lastModifiedBy>
  <dcterms:modified xsi:type="dcterms:W3CDTF">2025-04-29T08:15:15Z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TemplateDocerSaveRecord">
    <vt:lpwstr>eyJoZGlkIjoiYjQyOGE4ZTVjNTZiY2VlM2FiNDY2ZmZlOWFmOWUxOTAiLCJ1c2VySWQiOiIyMTUxMTA3NzcifQ==</vt:lpwstr>
  </property>
  <property fmtid="{D5CDD505-2E9C-101B-9397-08002B2CF9AE}" pid="4" name="ICV">
    <vt:lpwstr>8659BFC698AB4E8A8D75913834FEF64A_12</vt:lpwstr>
  </property>
</Properties>
</file>