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tabs>
          <w:tab w:val="left" w:pos="7260"/>
        </w:tabs>
        <w:kinsoku/>
        <w:wordWrap/>
        <w:overflowPunct/>
        <w:topLinePunct w:val="0"/>
        <w:autoSpaceDE w:val="0"/>
        <w:autoSpaceDN w:val="0"/>
        <w:bidi w:val="0"/>
        <w:adjustRightInd/>
        <w:snapToGrid/>
        <w:spacing w:after="0" w:line="60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w:t>
      </w:r>
    </w:p>
    <w:p>
      <w:pPr>
        <w:pStyle w:val="9"/>
        <w:keepNext w:val="0"/>
        <w:keepLines w:val="0"/>
        <w:pageBreakBefore w:val="0"/>
        <w:widowControl w:val="0"/>
        <w:tabs>
          <w:tab w:val="left" w:pos="7260"/>
        </w:tabs>
        <w:kinsoku/>
        <w:wordWrap/>
        <w:overflowPunct/>
        <w:topLinePunct w:val="0"/>
        <w:autoSpaceDE w:val="0"/>
        <w:autoSpaceDN w:val="0"/>
        <w:bidi w:val="0"/>
        <w:adjustRightInd/>
        <w:snapToGrid/>
        <w:spacing w:after="0" w:line="60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梁河县政务服务事项基本目录（</w:t>
      </w:r>
      <w:r>
        <w:rPr>
          <w:rFonts w:hint="default" w:ascii="Times New Roman" w:hAnsi="Times New Roman" w:eastAsia="方正小标宋_GBK" w:cs="Times New Roman"/>
          <w:b w:val="0"/>
          <w:bCs w:val="0"/>
          <w:sz w:val="44"/>
          <w:szCs w:val="44"/>
          <w:lang w:val="en-US" w:eastAsia="zh-CN"/>
        </w:rPr>
        <w:t>2021年版</w:t>
      </w:r>
      <w:r>
        <w:rPr>
          <w:rFonts w:hint="default" w:ascii="Times New Roman" w:hAnsi="Times New Roman" w:eastAsia="方正小标宋_GBK" w:cs="Times New Roman"/>
          <w:b w:val="0"/>
          <w:bCs w:val="0"/>
          <w:sz w:val="44"/>
          <w:szCs w:val="44"/>
          <w:lang w:eastAsia="zh-CN"/>
        </w:rPr>
        <w:t>）</w:t>
      </w:r>
    </w:p>
    <w:tbl>
      <w:tblPr>
        <w:tblStyle w:val="5"/>
        <w:tblW w:w="16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290"/>
        <w:gridCol w:w="1131"/>
        <w:gridCol w:w="715"/>
        <w:gridCol w:w="9617"/>
        <w:gridCol w:w="1250"/>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567" w:type="dxa"/>
            <w:vMerge w:val="restart"/>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序号</w:t>
            </w:r>
          </w:p>
        </w:tc>
        <w:tc>
          <w:tcPr>
            <w:tcW w:w="2421" w:type="dxa"/>
            <w:gridSpan w:val="2"/>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事项名称</w:t>
            </w:r>
          </w:p>
        </w:tc>
        <w:tc>
          <w:tcPr>
            <w:tcW w:w="715" w:type="dxa"/>
            <w:vMerge w:val="restart"/>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rPr>
            </w:pPr>
            <w:r>
              <w:rPr>
                <w:rFonts w:hint="default" w:ascii="Times New Roman" w:hAnsi="Times New Roman" w:eastAsia="方正仿宋_GBK" w:cs="Times New Roman"/>
                <w:b/>
                <w:bCs/>
                <w:sz w:val="20"/>
              </w:rPr>
              <w:t>事项类型</w:t>
            </w:r>
          </w:p>
        </w:tc>
        <w:tc>
          <w:tcPr>
            <w:tcW w:w="9617" w:type="dxa"/>
            <w:vMerge w:val="restart"/>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firstLine="0" w:firstLineChars="0"/>
              <w:jc w:val="center"/>
              <w:textAlignment w:val="auto"/>
              <w:rPr>
                <w:rFonts w:hint="default" w:ascii="Times New Roman" w:hAnsi="Times New Roman" w:eastAsia="方正仿宋_GBK" w:cs="Times New Roman"/>
                <w:b/>
                <w:bCs/>
                <w:sz w:val="22"/>
              </w:rPr>
            </w:pPr>
            <w:r>
              <w:rPr>
                <w:rFonts w:hint="default" w:ascii="Times New Roman" w:hAnsi="Times New Roman" w:eastAsia="方正仿宋_GBK" w:cs="Times New Roman"/>
                <w:b/>
                <w:bCs/>
                <w:sz w:val="24"/>
                <w:szCs w:val="24"/>
              </w:rPr>
              <w:t>设定依据</w:t>
            </w:r>
          </w:p>
        </w:tc>
        <w:tc>
          <w:tcPr>
            <w:tcW w:w="1250" w:type="dxa"/>
            <w:vMerge w:val="restart"/>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rPr>
            </w:pPr>
            <w:r>
              <w:rPr>
                <w:rFonts w:hint="default" w:ascii="Times New Roman" w:hAnsi="Times New Roman" w:eastAsia="方正仿宋_GBK" w:cs="Times New Roman"/>
                <w:b/>
                <w:bCs/>
                <w:sz w:val="20"/>
              </w:rPr>
              <w:t>行使层级</w:t>
            </w:r>
          </w:p>
        </w:tc>
        <w:tc>
          <w:tcPr>
            <w:tcW w:w="1454" w:type="dxa"/>
            <w:vMerge w:val="restart"/>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rPr>
            </w:pPr>
            <w:r>
              <w:rPr>
                <w:rFonts w:hint="default" w:ascii="Times New Roman" w:hAnsi="Times New Roman" w:eastAsia="方正仿宋_GBK" w:cs="Times New Roman"/>
                <w:b/>
                <w:bCs/>
                <w:sz w:val="20"/>
              </w:rPr>
              <w:t>业务指导（实施）部门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67" w:type="dxa"/>
            <w:vMerge w:val="continue"/>
            <w:tcBorders>
              <w:top w:val="nil"/>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0" w:line="300" w:lineRule="exact"/>
              <w:ind w:left="66" w:leftChars="30" w:right="66" w:rightChars="30"/>
              <w:jc w:val="center"/>
              <w:textAlignment w:val="auto"/>
              <w:rPr>
                <w:rFonts w:hint="default" w:ascii="Times New Roman" w:hAnsi="Times New Roman" w:eastAsia="方正仿宋_GBK" w:cs="Times New Roman"/>
                <w:b/>
                <w:bCs/>
                <w:sz w:val="20"/>
                <w:szCs w:val="20"/>
              </w:rPr>
            </w:pPr>
          </w:p>
        </w:tc>
        <w:tc>
          <w:tcPr>
            <w:tcW w:w="1290" w:type="dxa"/>
            <w:tcBorders>
              <w:bottom w:val="single" w:color="auto" w:sz="4" w:space="0"/>
            </w:tcBorders>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主项名称</w:t>
            </w:r>
          </w:p>
        </w:tc>
        <w:tc>
          <w:tcPr>
            <w:tcW w:w="1131" w:type="dxa"/>
            <w:tcBorders>
              <w:bottom w:val="single" w:color="auto" w:sz="4" w:space="0"/>
            </w:tcBorders>
            <w:vAlign w:val="center"/>
          </w:tcPr>
          <w:p>
            <w:pPr>
              <w:pStyle w:val="9"/>
              <w:keepNext w:val="0"/>
              <w:keepLines w:val="0"/>
              <w:pageBreakBefore w:val="0"/>
              <w:widowControl w:val="0"/>
              <w:kinsoku/>
              <w:wordWrap/>
              <w:overflowPunct/>
              <w:topLinePunct w:val="0"/>
              <w:autoSpaceDE w:val="0"/>
              <w:autoSpaceDN w:val="0"/>
              <w:bidi w:val="0"/>
              <w:adjustRightInd w:val="0"/>
              <w:snapToGrid/>
              <w:spacing w:before="0" w:line="240" w:lineRule="auto"/>
              <w:ind w:left="66" w:leftChars="30" w:right="66" w:rightChars="30"/>
              <w:jc w:val="center"/>
              <w:textAlignment w:val="auto"/>
              <w:rPr>
                <w:rFonts w:hint="default" w:ascii="Times New Roman" w:hAnsi="Times New Roman" w:eastAsia="方正仿宋_GBK" w:cs="Times New Roman"/>
                <w:b/>
                <w:bCs/>
                <w:sz w:val="20"/>
                <w:szCs w:val="20"/>
              </w:rPr>
            </w:pPr>
            <w:r>
              <w:rPr>
                <w:rFonts w:hint="default" w:ascii="Times New Roman" w:hAnsi="Times New Roman" w:eastAsia="方正仿宋_GBK" w:cs="Times New Roman"/>
                <w:b/>
                <w:bCs/>
                <w:sz w:val="20"/>
                <w:szCs w:val="20"/>
              </w:rPr>
              <w:t>子项名称</w:t>
            </w:r>
          </w:p>
        </w:tc>
        <w:tc>
          <w:tcPr>
            <w:tcW w:w="715" w:type="dxa"/>
            <w:vMerge w:val="continue"/>
            <w:tcBorders>
              <w:top w:val="nil"/>
              <w:bottom w:val="single" w:color="auto" w:sz="4" w:space="0"/>
            </w:tcBorders>
          </w:tcPr>
          <w:p>
            <w:pPr>
              <w:keepNext w:val="0"/>
              <w:keepLines w:val="0"/>
              <w:pageBreakBefore w:val="0"/>
              <w:kinsoku/>
              <w:wordWrap/>
              <w:overflowPunct/>
              <w:topLinePunct w:val="0"/>
              <w:autoSpaceDE w:val="0"/>
              <w:autoSpaceDN w:val="0"/>
              <w:bidi w:val="0"/>
              <w:adjustRightInd w:val="0"/>
              <w:snapToGrid/>
              <w:ind w:left="66" w:leftChars="30" w:right="66" w:rightChars="30"/>
              <w:rPr>
                <w:rFonts w:hint="default" w:ascii="Times New Roman" w:hAnsi="Times New Roman" w:eastAsia="方正仿宋_GBK" w:cs="Times New Roman"/>
                <w:b/>
                <w:bCs/>
                <w:sz w:val="2"/>
                <w:szCs w:val="2"/>
              </w:rPr>
            </w:pPr>
          </w:p>
        </w:tc>
        <w:tc>
          <w:tcPr>
            <w:tcW w:w="9617" w:type="dxa"/>
            <w:vMerge w:val="continue"/>
            <w:tcBorders>
              <w:top w:val="nil"/>
              <w:bottom w:val="single" w:color="auto" w:sz="4" w:space="0"/>
            </w:tcBorders>
          </w:tcPr>
          <w:p>
            <w:pPr>
              <w:keepNext w:val="0"/>
              <w:keepLines w:val="0"/>
              <w:pageBreakBefore w:val="0"/>
              <w:kinsoku/>
              <w:wordWrap/>
              <w:overflowPunct/>
              <w:topLinePunct w:val="0"/>
              <w:autoSpaceDE w:val="0"/>
              <w:autoSpaceDN w:val="0"/>
              <w:bidi w:val="0"/>
              <w:adjustRightInd w:val="0"/>
              <w:snapToGrid/>
              <w:ind w:left="66" w:leftChars="30" w:right="66" w:rightChars="30"/>
              <w:rPr>
                <w:rFonts w:hint="default" w:ascii="Times New Roman" w:hAnsi="Times New Roman" w:eastAsia="方正仿宋_GBK" w:cs="Times New Roman"/>
                <w:b/>
                <w:bCs/>
                <w:sz w:val="2"/>
                <w:szCs w:val="2"/>
              </w:rPr>
            </w:pPr>
          </w:p>
        </w:tc>
        <w:tc>
          <w:tcPr>
            <w:tcW w:w="1250" w:type="dxa"/>
            <w:vMerge w:val="continue"/>
            <w:tcBorders>
              <w:top w:val="nil"/>
              <w:bottom w:val="single" w:color="auto" w:sz="4" w:space="0"/>
            </w:tcBorders>
          </w:tcPr>
          <w:p>
            <w:pPr>
              <w:keepNext w:val="0"/>
              <w:keepLines w:val="0"/>
              <w:pageBreakBefore w:val="0"/>
              <w:kinsoku/>
              <w:wordWrap/>
              <w:overflowPunct/>
              <w:topLinePunct w:val="0"/>
              <w:autoSpaceDE w:val="0"/>
              <w:autoSpaceDN w:val="0"/>
              <w:bidi w:val="0"/>
              <w:adjustRightInd w:val="0"/>
              <w:snapToGrid/>
              <w:ind w:left="66" w:leftChars="30" w:right="66" w:rightChars="30"/>
              <w:rPr>
                <w:rFonts w:hint="default" w:ascii="Times New Roman" w:hAnsi="Times New Roman" w:eastAsia="方正仿宋_GBK" w:cs="Times New Roman"/>
                <w:b/>
                <w:bCs/>
                <w:sz w:val="2"/>
                <w:szCs w:val="2"/>
              </w:rPr>
            </w:pPr>
          </w:p>
        </w:tc>
        <w:tc>
          <w:tcPr>
            <w:tcW w:w="1454" w:type="dxa"/>
            <w:vMerge w:val="continue"/>
            <w:tcBorders>
              <w:top w:val="nil"/>
              <w:bottom w:val="single" w:color="auto" w:sz="4" w:space="0"/>
            </w:tcBorders>
          </w:tcPr>
          <w:p>
            <w:pPr>
              <w:keepNext w:val="0"/>
              <w:keepLines w:val="0"/>
              <w:pageBreakBefore w:val="0"/>
              <w:kinsoku/>
              <w:wordWrap/>
              <w:overflowPunct/>
              <w:topLinePunct w:val="0"/>
              <w:autoSpaceDE w:val="0"/>
              <w:autoSpaceDN w:val="0"/>
              <w:bidi w:val="0"/>
              <w:adjustRightInd w:val="0"/>
              <w:snapToGrid/>
              <w:ind w:left="66" w:leftChars="30" w:right="66" w:rightChars="30"/>
              <w:rPr>
                <w:rFonts w:hint="default" w:ascii="Times New Roman" w:hAnsi="Times New Roman" w:eastAsia="方正仿宋_GBK" w:cs="Times New Roman"/>
                <w:b/>
                <w:bCs/>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bookmarkStart w:id="0" w:name="_GoBack" w:colFirst="4" w:colLast="4"/>
            <w:r>
              <w:rPr>
                <w:rFonts w:hint="eastAsia" w:ascii="Times New Roman" w:hAnsi="Times New Roman" w:cs="Times New Roman"/>
                <w:b w:val="0"/>
                <w:bCs w:val="0"/>
                <w:i w:val="0"/>
                <w:iCs w:val="0"/>
                <w:color w:val="000000"/>
                <w:kern w:val="0"/>
                <w:sz w:val="20"/>
                <w:szCs w:val="20"/>
                <w:u w:val="none"/>
                <w:lang w:val="en-US" w:eastAsia="zh-CN" w:bidi="ar"/>
              </w:rPr>
              <w:t>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从事营业性演出活动审批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文艺表演团体从事营业性演出活动审批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w:t>
            </w:r>
            <w:r>
              <w:rPr>
                <w:rFonts w:hint="eastAsia" w:ascii="Times New Roman" w:hAnsi="Times New Roman" w:cs="Times New Roman"/>
                <w:b w:val="0"/>
                <w:bCs w:val="0"/>
                <w:i w:val="0"/>
                <w:iCs w:val="0"/>
                <w:color w:val="000000"/>
                <w:kern w:val="0"/>
                <w:sz w:val="20"/>
                <w:szCs w:val="20"/>
                <w:u w:val="none"/>
                <w:lang w:val="en-US" w:eastAsia="zh-CN" w:bidi="ar"/>
              </w:rPr>
              <w:t>中华人民共和国</w:t>
            </w:r>
            <w:r>
              <w:rPr>
                <w:rFonts w:hint="default" w:ascii="Times New Roman" w:hAnsi="Times New Roman" w:eastAsia="方正仿宋_GBK" w:cs="Times New Roman"/>
                <w:b w:val="0"/>
                <w:bCs w:val="0"/>
                <w:i w:val="0"/>
                <w:iCs w:val="0"/>
                <w:color w:val="000000"/>
                <w:kern w:val="0"/>
                <w:sz w:val="20"/>
                <w:szCs w:val="20"/>
                <w:u w:val="none"/>
                <w:lang w:val="en-US" w:eastAsia="zh-CN" w:bidi="ar"/>
              </w:rPr>
              <w:t>营业性演出管理条例》第六条  文艺表演团体申请从事营业性演出活动，应当有与其业务相适应的专职演员和器材设备，并向县级人民政府文化主管部门提出申请；演出经纪机构申请从事营业性演出活动，应当有3 名以上专职演出经纪人员和与其业务相适应的资金，并向省、自治区、直辖市人民政府文化主管部门提出申请。文化主管部门应当自受理申请之日起 20 日内作出决定。批准的，颁发营业性演出许可证；不批准的，应当书面通知申请人并说明理由。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eastAsia" w:ascii="Times New Roman" w:hAnsi="Times New Roman" w:cs="Times New Roman"/>
                <w:b w:val="0"/>
                <w:bCs w:val="0"/>
                <w:i w:val="0"/>
                <w:iCs w:val="0"/>
                <w:color w:val="000000"/>
                <w:kern w:val="0"/>
                <w:sz w:val="20"/>
                <w:szCs w:val="20"/>
                <w:u w:val="none"/>
                <w:lang w:val="en-US" w:eastAsia="zh-CN" w:bidi="ar"/>
              </w:rPr>
              <w:t>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举办营业性演出审批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营业性演出审批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w:t>
            </w:r>
            <w:r>
              <w:rPr>
                <w:rFonts w:hint="eastAsia" w:ascii="Times New Roman" w:hAnsi="Times New Roman" w:cs="Times New Roman"/>
                <w:b w:val="0"/>
                <w:bCs w:val="0"/>
                <w:i w:val="0"/>
                <w:iCs w:val="0"/>
                <w:color w:val="000000"/>
                <w:kern w:val="0"/>
                <w:sz w:val="20"/>
                <w:szCs w:val="20"/>
                <w:u w:val="none"/>
                <w:lang w:val="en-US" w:eastAsia="zh-CN" w:bidi="ar"/>
              </w:rPr>
              <w:t>中华人民共和国</w:t>
            </w:r>
            <w:r>
              <w:rPr>
                <w:rFonts w:hint="default" w:ascii="Times New Roman" w:hAnsi="Times New Roman" w:eastAsia="方正仿宋_GBK" w:cs="Times New Roman"/>
                <w:b w:val="0"/>
                <w:bCs w:val="0"/>
                <w:i w:val="0"/>
                <w:iCs w:val="0"/>
                <w:color w:val="000000"/>
                <w:kern w:val="0"/>
                <w:sz w:val="20"/>
                <w:szCs w:val="20"/>
                <w:u w:val="none"/>
                <w:lang w:val="en-US" w:eastAsia="zh-CN" w:bidi="ar"/>
              </w:rPr>
              <w:t>营业性演出管理条例》第十三条  举办营业性演出，应当向演出所在地县级人民政府文化主管部门提出申请。县级人民政府文化主管部门应当自受理申请之日起 3 日内作出决定。对符合本条例第二十五条规定的，发给批准文件；对不符合本条例第二十五条规定的，不予批准，书面通知申请人并说明理由。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娱乐经营许可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内资娱乐场所从事娱乐场所经营活动审批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w:t>
            </w:r>
            <w:r>
              <w:rPr>
                <w:rFonts w:hint="eastAsia" w:ascii="Times New Roman" w:hAnsi="Times New Roman" w:cs="Times New Roman"/>
                <w:b w:val="0"/>
                <w:bCs w:val="0"/>
                <w:i w:val="0"/>
                <w:iCs w:val="0"/>
                <w:color w:val="000000"/>
                <w:kern w:val="0"/>
                <w:sz w:val="20"/>
                <w:szCs w:val="20"/>
                <w:u w:val="none"/>
                <w:lang w:val="en-US" w:eastAsia="zh-CN" w:bidi="ar"/>
              </w:rPr>
              <w:t>中华人民共和国</w:t>
            </w:r>
            <w:r>
              <w:rPr>
                <w:rFonts w:hint="default" w:ascii="Times New Roman" w:hAnsi="Times New Roman" w:eastAsia="方正仿宋_GBK" w:cs="Times New Roman"/>
                <w:b w:val="0"/>
                <w:bCs w:val="0"/>
                <w:i w:val="0"/>
                <w:iCs w:val="0"/>
                <w:color w:val="000000"/>
                <w:kern w:val="0"/>
                <w:sz w:val="20"/>
                <w:szCs w:val="20"/>
                <w:u w:val="none"/>
                <w:lang w:val="en-US" w:eastAsia="zh-CN" w:bidi="ar"/>
              </w:rPr>
              <w:t>娱乐场所管理条例》第九条  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第十二条  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申请从事互联网上网服务经营活动审批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内资企业申请从事互联网上网服务经营活动审批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w:t>
            </w:r>
            <w:r>
              <w:rPr>
                <w:rFonts w:hint="eastAsia" w:ascii="Times New Roman" w:hAnsi="Times New Roman" w:cs="Times New Roman"/>
                <w:b w:val="0"/>
                <w:bCs w:val="0"/>
                <w:i w:val="0"/>
                <w:iCs w:val="0"/>
                <w:color w:val="000000"/>
                <w:kern w:val="0"/>
                <w:sz w:val="20"/>
                <w:szCs w:val="20"/>
                <w:u w:val="none"/>
                <w:lang w:val="en-US" w:eastAsia="zh-CN" w:bidi="ar"/>
              </w:rPr>
              <w:t>中华人民共和国</w:t>
            </w:r>
            <w:r>
              <w:rPr>
                <w:rFonts w:hint="default" w:ascii="Times New Roman" w:hAnsi="Times New Roman" w:eastAsia="方正仿宋_GBK" w:cs="Times New Roman"/>
                <w:b w:val="0"/>
                <w:bCs w:val="0"/>
                <w:i w:val="0"/>
                <w:iCs w:val="0"/>
                <w:color w:val="000000"/>
                <w:kern w:val="0"/>
                <w:sz w:val="20"/>
                <w:szCs w:val="20"/>
                <w:u w:val="none"/>
                <w:lang w:val="en-US" w:eastAsia="zh-CN" w:bidi="ar"/>
              </w:rPr>
              <w:t>互联网上网服务营业场所管理条例》第七条  国家对互联网上网服务营业场所经营单位的经营活动实行许可制度。未经许可，任何组织和个人不得从事互联网上网服务经营活动。第十条  互联网上网服务营业场所经营单位申请从事互联网上网服务经营活动，应当向县级以上地方人民政府文化行政部门提出申请。第十一条  文化行政部门应当自收到申请之日起 20 个工作日内作出决定；经审查，符合条件的，发给同意筹建的批准文件。第十三条  互联网上网服务营业场所经营单位变更营业场所地址或者对营业场所进行改建、扩建，变更计算机数量或者其他重要事项的，应当经原审核机关同意。</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 482 项涉及省级行政权力事项的决定》（云政发〔2020〕16 号）附件 3 第 52 项内资企业申请从事互联网上网服务经营活</w:t>
            </w:r>
            <w:r>
              <w:rPr>
                <w:rFonts w:hint="eastAsia" w:ascii="Times New Roman" w:hAnsi="Times New Roman" w:cs="Times New Roman"/>
                <w:b w:val="0"/>
                <w:bCs w:val="0"/>
                <w:i w:val="0"/>
                <w:iCs w:val="0"/>
                <w:color w:val="000000"/>
                <w:kern w:val="0"/>
                <w:sz w:val="20"/>
                <w:szCs w:val="20"/>
                <w:u w:val="none"/>
                <w:lang w:val="en-US" w:eastAsia="zh-CN" w:bidi="ar"/>
              </w:rPr>
              <w:t>动的</w:t>
            </w:r>
            <w:r>
              <w:rPr>
                <w:rFonts w:hint="default" w:ascii="Times New Roman" w:hAnsi="Times New Roman" w:eastAsia="方正仿宋_GBK" w:cs="Times New Roman"/>
                <w:b w:val="0"/>
                <w:bCs w:val="0"/>
                <w:i w:val="0"/>
                <w:iCs w:val="0"/>
                <w:color w:val="000000"/>
                <w:kern w:val="0"/>
                <w:sz w:val="20"/>
                <w:szCs w:val="20"/>
                <w:u w:val="none"/>
                <w:lang w:val="en-US" w:eastAsia="zh-CN" w:bidi="ar"/>
              </w:rPr>
              <w:t>审批，省、州级文化和旅游部门不再实施，保留县级文化和旅游部门审批权限。此事项是“申请从事互联网上网服务经营活动审批”的子项。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申请从事互联网上网服务经营活动审批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外商投资企业申请从事互联网上网服务经营活动审批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w:t>
            </w:r>
            <w:r>
              <w:rPr>
                <w:rFonts w:hint="eastAsia" w:ascii="Times New Roman" w:hAnsi="Times New Roman" w:cs="Times New Roman"/>
                <w:b w:val="0"/>
                <w:bCs w:val="0"/>
                <w:i w:val="0"/>
                <w:iCs w:val="0"/>
                <w:color w:val="000000"/>
                <w:kern w:val="0"/>
                <w:sz w:val="20"/>
                <w:szCs w:val="20"/>
                <w:u w:val="none"/>
                <w:lang w:val="en-US" w:eastAsia="zh-CN" w:bidi="ar"/>
              </w:rPr>
              <w:t>中华人民共和国</w:t>
            </w:r>
            <w:r>
              <w:rPr>
                <w:rFonts w:hint="default" w:ascii="Times New Roman" w:hAnsi="Times New Roman" w:eastAsia="方正仿宋_GBK" w:cs="Times New Roman"/>
                <w:b w:val="0"/>
                <w:bCs w:val="0"/>
                <w:i w:val="0"/>
                <w:iCs w:val="0"/>
                <w:color w:val="000000"/>
                <w:kern w:val="0"/>
                <w:sz w:val="20"/>
                <w:szCs w:val="20"/>
                <w:u w:val="none"/>
                <w:lang w:val="en-US" w:eastAsia="zh-CN" w:bidi="ar"/>
              </w:rPr>
              <w:t>外商投资法》第四条  国家对外商投资实行准入前国民待遇加负面清单管理制度。前款所称准入前国民待遇，是指在投资准入阶段给予外国投资者及其投资不低于本国投资者及其投资的待遇；所称负面清单，是指国家规定在特定领域对外商投资实施的准入特别管理措施。国家对负面清单之外的外商投资，给予国民待遇。</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w:t>
            </w:r>
            <w:r>
              <w:rPr>
                <w:rFonts w:hint="eastAsia" w:ascii="Times New Roman" w:hAnsi="Times New Roman" w:cs="Times New Roman"/>
                <w:b w:val="0"/>
                <w:bCs w:val="0"/>
                <w:i w:val="0"/>
                <w:iCs w:val="0"/>
                <w:color w:val="000000"/>
                <w:kern w:val="0"/>
                <w:sz w:val="20"/>
                <w:szCs w:val="20"/>
                <w:u w:val="none"/>
                <w:lang w:val="en-US" w:eastAsia="zh-CN" w:bidi="ar"/>
              </w:rPr>
              <w:t>中华人民共和国</w:t>
            </w:r>
            <w:r>
              <w:rPr>
                <w:rFonts w:hint="default" w:ascii="Times New Roman" w:hAnsi="Times New Roman" w:eastAsia="方正仿宋_GBK" w:cs="Times New Roman"/>
                <w:b w:val="0"/>
                <w:bCs w:val="0"/>
                <w:i w:val="0"/>
                <w:iCs w:val="0"/>
                <w:color w:val="000000"/>
                <w:kern w:val="0"/>
                <w:sz w:val="20"/>
                <w:szCs w:val="20"/>
                <w:u w:val="none"/>
                <w:lang w:val="en-US" w:eastAsia="zh-CN" w:bidi="ar"/>
              </w:rPr>
              <w:t>互联网上网服务营业场所管理条例》第七条  国家对互联网上网服务营业场所经营单位的经营活动实行许可制度。未经许可，任何组织和个人不得从事互联网上网服务经营活动。第十条  互联网上网服务营业场所经营单位申请从事互联网上网服务经营活动，应当向县级以上地方人民政府文化行政部门提出申请。第十一条  文化行政部门应当自收到申请之日起 20 个工作日内作出决定；经审查，符合条件的，发给同意筹建的批准文件。第十三条  互联网上网服务营业场所经营单位变更营业场所地址或者对营业场所进行改建、扩建，变更计算机数量或者其他重要事项的，应当经原审核机关同意。</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《云南省人民政府关于调整 482 项涉及省级行政权力事项的决定》（云政发〔2020〕16 号）附件 3 第 53 项外商投资企业申请从事互联网上网服务经营活动审批，下放，将省级权限下放至县级文化和旅游部门。此事项是“申请从事互联网上网服务经营活动审批”的子项。</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博物馆处理不够入藏标准、无保存价值的文物或标本审批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《国务院对确需保留的行政审批项目设定行政许可的决定》附件第 465 项 博物馆处理不够入藏标准、无保存价值的文物或标本审批，实施机关：县级以上人民政府文物行政主管部门。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非国有文物收藏单位和其他单位借用国有文物收藏单位馆藏文物审批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《中华人民共和国文物保护法》第四十条 文物收藏单位应当充分发挥馆藏文物的作用，通过举办展览、科学研究等活动，加强对中华民族优秀的历史文化和革命传统的宣传教育。非国有文物收藏单位和其他单位举办展览需借用国有馆藏文物的，应当报主管的文物行政部门批准；借用国有馆藏一级文物，应当经国务院文物行政部门批准。文物收藏单位之间借用文物的最长期限不得超过三年。</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建设工程文物保护和考古许可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《中华人民共和国文物保护法》第十七条  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第十八条  在文物保护单位的建设控制地带内进行建设工程，不得破坏文物保护单位的历史风貌；工程设计方案应当根据文物保护单位的级别，经相应的文物行政部门同意后，报城乡建设规划部门批准。第二十九条  进行大型基本建设工程，建设单位应当事先报请省、自治区、直辖市人民政府文物行政部门组织从事考古发掘的单位在工程范围内有可能埋藏文物的地方进行考古调查、勘探。考古调查、勘探中发现文物的，由省、自治区、直辖市人民政府文物行政部门根据文物保护的要求会同建设单位共同商定保护措施；遇有重要发现的，由省、自治区、直辖市人民政府文物行政部门及时报国务院文物行政部门处理。</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《国务院关于印发清理规范投资项目报建审批事项实施方案的通知》（国发〔2016〕29 号）附件二第 18 项文物保护单位的保护范围内进行其他建设工程或者爆破、钻探、挖掘等作业的许可、第 19 项  文物保护单位的建设控制地带内进行建设工程的许可、第 20 项  进行大型基本建设工程前在工程范围内有可能埋藏文物的地方进行考古调查、勘探的许可，合并为“建设工程文物保护和考古许可”。</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核定为文物保护单位的属于国家所有的纪念建筑物或者古建筑改变用途审批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《中华人民共和国文物保护法》第二十三条 核定为文物保护单位的属于国家所有的纪</w:t>
            </w:r>
            <w:r>
              <w:rPr>
                <w:rFonts w:hint="eastAsia" w:ascii="Times New Roman" w:hAnsi="Times New Roman" w:cs="Times New Roman"/>
                <w:b w:val="0"/>
                <w:bCs w:val="0"/>
                <w:i w:val="0"/>
                <w:iCs w:val="0"/>
                <w:color w:val="000000"/>
                <w:kern w:val="0"/>
                <w:sz w:val="20"/>
                <w:szCs w:val="20"/>
                <w:u w:val="none"/>
                <w:lang w:val="en-US" w:eastAsia="zh-CN" w:bidi="ar"/>
              </w:rPr>
              <w:t>念性</w:t>
            </w:r>
            <w:r>
              <w:rPr>
                <w:rFonts w:hint="default" w:ascii="Times New Roman" w:hAnsi="Times New Roman" w:eastAsia="方正仿宋_GBK" w:cs="Times New Roman"/>
                <w:b w:val="0"/>
                <w:bCs w:val="0"/>
                <w:i w:val="0"/>
                <w:iCs w:val="0"/>
                <w:color w:val="000000"/>
                <w:kern w:val="0"/>
                <w:sz w:val="20"/>
                <w:szCs w:val="20"/>
                <w:u w:val="none"/>
                <w:lang w:val="en-US" w:eastAsia="zh-CN" w:bidi="ar"/>
              </w:rPr>
              <w:t>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10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文物保护单位及未核定为文物保护单位的不可移动文物修缮许可</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县级文物保护单位及未核定为文物保护单位的不可移动文物修缮审批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《中华人民共和国文物保护法》第二十一条第三款  对文物保护单位进行修缮，应当根据文物保护单位的级别报相应的文物行政部门批准；对未核定为文物保护单位的不可移动文物进行修缮，应当报登记的县级人民政府文物行政部门批准。</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1</w:t>
            </w:r>
            <w:r>
              <w:rPr>
                <w:rFonts w:hint="default" w:ascii="Times New Roman" w:hAnsi="Times New Roman" w:eastAsia="方正仿宋_GBK" w:cs="Times New Roman"/>
                <w:b w:val="0"/>
                <w:bCs w:val="0"/>
                <w:i w:val="0"/>
                <w:iCs w:val="0"/>
                <w:color w:val="000000"/>
                <w:kern w:val="0"/>
                <w:sz w:val="20"/>
                <w:szCs w:val="20"/>
                <w:u w:val="none"/>
                <w:lang w:val="en-US" w:eastAsia="zh-CN" w:bidi="ar"/>
              </w:rPr>
              <w:t>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文物保护单位原址保护措施审批</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县级文物保护单位原址保护措施审批</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行政许可</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《中华人民共和国文物保护法》第二十条 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2</w:t>
            </w:r>
            <w:r>
              <w:rPr>
                <w:rFonts w:hint="default" w:ascii="Times New Roman" w:hAnsi="Times New Roman" w:eastAsia="方正仿宋_GBK" w:cs="Times New Roman"/>
                <w:b w:val="0"/>
                <w:bCs w:val="0"/>
                <w:i w:val="0"/>
                <w:iCs w:val="0"/>
                <w:color w:val="000000"/>
                <w:kern w:val="0"/>
                <w:sz w:val="20"/>
                <w:szCs w:val="20"/>
                <w:u w:val="none"/>
                <w:lang w:val="en-US" w:eastAsia="zh-CN" w:bidi="ar"/>
              </w:rPr>
              <w:t>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对非物质文化遗产代表性传承人的组织推荐评审认定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《中华人民共和国非物质文化遗产法》第二十九条 国务院文化主管部门和省、自治区、直辖市人民政府文化主管部门对本级人民政府批准公布的非物质文化遗产代表性项目，可以认定代表性传承人。</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《云南省非物质文化遗产保护条例》第十六条 县级以上人民政府文化行政主管部门应当对本级非物质文化遗产项目保护名录中的项目认定代表性传承人。第十八条 县级以上人民政府文化行政主管部门可以将已认定的本级代表性传承人，向上一级文化行政主管部门推荐为上一级代表性传承人。公民、法人和其他组织可以向文化行政主管部门推荐非物质文化遗产项目的代表性传承人，但是应当事先征得被推荐人的同意；公民本人也可以申请作为某一项目的代表性传承人。</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1</w:t>
            </w:r>
            <w:r>
              <w:rPr>
                <w:rFonts w:hint="default" w:ascii="Times New Roman" w:hAnsi="Times New Roman" w:eastAsia="方正仿宋_GBK" w:cs="Times New Roman"/>
                <w:b w:val="0"/>
                <w:bCs w:val="0"/>
                <w:i w:val="0"/>
                <w:iCs w:val="0"/>
                <w:color w:val="000000"/>
                <w:kern w:val="0"/>
                <w:sz w:val="20"/>
                <w:szCs w:val="20"/>
                <w:u w:val="none"/>
                <w:lang w:val="en-US" w:eastAsia="zh-CN" w:bidi="ar"/>
              </w:rPr>
              <w:t>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对非物质文化遗产代表性项目及其保护责任单位的组织推荐评审认定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《中华人民共和国非物质文化遗产法》第十九条  省、自治区、直辖市人民政府可以从本省、自治区、直辖市非物质文化遗产代表性项目名录中向国务院文化主管部门推荐列入国家级非物质文化遗产代表性项目名录的项目。</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《云南省非物质文化遗产保护条例》第八条  非物质文化遗产项目保护名录分为国家级、省级、州（市）级和县（市、区）级四个等级，按照逐级推荐的程序，由下一级文化行政主管部门向上一级文化行政主管部门推荐。第九条  县级以上人民政府文化行政主管部门应当组织专家评审委员会，对拟列入本级或者拟推荐为上一级非物质文化遗产项目保护名录的项目进行评审。第十条  县级以上人民政府文化行政主管部门应当将评审后拟列入本级非物质文化遗产保护名录的项目及其保护责任单位，征求有关部门意见，并进行公示。公示期为 20 日。文化行政主管部门根据公示结果，拟定本级非物质文化遗产项目保护名录及其保护责任单位，报本级人民政府批准后公布。</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1</w:t>
            </w:r>
            <w:r>
              <w:rPr>
                <w:rFonts w:hint="default" w:ascii="Times New Roman" w:hAnsi="Times New Roman" w:eastAsia="方正仿宋_GBK" w:cs="Times New Roman"/>
                <w:b w:val="0"/>
                <w:bCs w:val="0"/>
                <w:i w:val="0"/>
                <w:iCs w:val="0"/>
                <w:color w:val="000000"/>
                <w:kern w:val="0"/>
                <w:sz w:val="20"/>
                <w:szCs w:val="20"/>
                <w:u w:val="none"/>
                <w:lang w:val="en-US" w:eastAsia="zh-CN" w:bidi="ar"/>
              </w:rPr>
              <w:t>4</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文物认定</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行政确认</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w:t>
            </w:r>
            <w:r>
              <w:rPr>
                <w:rFonts w:hint="eastAsia" w:ascii="Times New Roman" w:hAnsi="Times New Roman" w:cs="Times New Roman"/>
                <w:b w:val="0"/>
                <w:bCs w:val="0"/>
                <w:i w:val="0"/>
                <w:iCs w:val="0"/>
                <w:color w:val="000000"/>
                <w:kern w:val="0"/>
                <w:sz w:val="20"/>
                <w:szCs w:val="20"/>
                <w:u w:val="none"/>
                <w:lang w:val="en-US" w:eastAsia="zh-CN" w:bidi="ar"/>
              </w:rPr>
              <w:t>中华人民共和国</w:t>
            </w:r>
            <w:r>
              <w:rPr>
                <w:rFonts w:hint="default" w:ascii="Times New Roman" w:hAnsi="Times New Roman" w:eastAsia="方正仿宋_GBK" w:cs="Times New Roman"/>
                <w:b w:val="0"/>
                <w:bCs w:val="0"/>
                <w:i w:val="0"/>
                <w:iCs w:val="0"/>
                <w:color w:val="000000"/>
                <w:kern w:val="0"/>
                <w:sz w:val="20"/>
                <w:szCs w:val="20"/>
                <w:u w:val="none"/>
                <w:lang w:val="en-US" w:eastAsia="zh-CN" w:bidi="ar"/>
              </w:rPr>
              <w:t>文物认定管理暂行办法》（文化部令第 46 号）第二条  《中华人民共和国文物保护法》第二条第一款所列各项，应当认定为文物。第三条  认定文物，由县级以上地方文物行政部门负责。认定文物发生争议的，由省级文物行政部门作出裁定。省级文物行政部门应当根据国务院文物行政部门的要求，认定特定的文化资源为文物。</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《国家文物局关于贯彻实施〈文物认定管理暂行办法〉的指导意见》（文物政发〔2009〕45 号）四、关于认定工作的程序。文物认定的主体是县级以上地方文物行政部门，包括省、市、县级文物行政部门。除文物行政部门已设置或委托办理机构外，申请人可以向上述任一文物行政部门提出文物认定申请。申请人依法要求认定可移动文物的，应向其户籍所在地的县级以上地方文物行政部门提出。申请人依法要求认定不可移动文物的，应向认定对象所在地的县级以上地方文物行政部门提出。县级以上地方文物行政部门受理文物认定申请后，原则上应在 20 个工作日内作出决定并予以答复。需要委托专业机构或者专家评估论证，以及需要以听证会形式听取公众意见的，所需时间不计算在 20 个工作日内。</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1</w:t>
            </w:r>
            <w:r>
              <w:rPr>
                <w:rFonts w:hint="default" w:ascii="Times New Roman" w:hAnsi="Times New Roman" w:eastAsia="方正仿宋_GBK" w:cs="Times New Roman"/>
                <w:b w:val="0"/>
                <w:bCs w:val="0"/>
                <w:i w:val="0"/>
                <w:iCs w:val="0"/>
                <w:color w:val="000000"/>
                <w:kern w:val="0"/>
                <w:sz w:val="20"/>
                <w:szCs w:val="20"/>
                <w:u w:val="none"/>
                <w:lang w:val="en-US" w:eastAsia="zh-CN" w:bidi="ar"/>
              </w:rPr>
              <w:t>5</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对营业性演出举报人的奖励</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行政奖励</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w:t>
            </w:r>
            <w:r>
              <w:rPr>
                <w:rFonts w:hint="eastAsia" w:ascii="Times New Roman" w:hAnsi="Times New Roman" w:cs="Times New Roman"/>
                <w:b w:val="0"/>
                <w:bCs w:val="0"/>
                <w:i w:val="0"/>
                <w:iCs w:val="0"/>
                <w:color w:val="000000"/>
                <w:kern w:val="0"/>
                <w:sz w:val="20"/>
                <w:szCs w:val="20"/>
                <w:u w:val="none"/>
                <w:lang w:val="en-US" w:eastAsia="zh-CN" w:bidi="ar"/>
              </w:rPr>
              <w:t>中华人民共和国</w:t>
            </w:r>
            <w:r>
              <w:rPr>
                <w:rFonts w:hint="default" w:ascii="Times New Roman" w:hAnsi="Times New Roman" w:eastAsia="方正仿宋_GBK" w:cs="Times New Roman"/>
                <w:b w:val="0"/>
                <w:bCs w:val="0"/>
                <w:i w:val="0"/>
                <w:iCs w:val="0"/>
                <w:color w:val="000000"/>
                <w:kern w:val="0"/>
                <w:sz w:val="20"/>
                <w:szCs w:val="20"/>
                <w:u w:val="none"/>
                <w:lang w:val="en-US" w:eastAsia="zh-CN" w:bidi="ar"/>
              </w:rPr>
              <w:t>营业性演出管理条例》第三十四条第四款  县级以上地方人民政府文化主管部门对作出突出贡献的社会义务监督员应当给予表彰；公众举报经调查核实的，应当对举报人给予奖励。</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1</w:t>
            </w:r>
            <w:r>
              <w:rPr>
                <w:rFonts w:hint="default" w:ascii="Times New Roman" w:hAnsi="Times New Roman" w:eastAsia="方正仿宋_GBK" w:cs="Times New Roman"/>
                <w:b w:val="0"/>
                <w:bCs w:val="0"/>
                <w:i w:val="0"/>
                <w:iCs w:val="0"/>
                <w:color w:val="000000"/>
                <w:kern w:val="0"/>
                <w:sz w:val="20"/>
                <w:szCs w:val="20"/>
                <w:u w:val="none"/>
                <w:lang w:val="en-US" w:eastAsia="zh-CN" w:bidi="ar"/>
              </w:rPr>
              <w:t>6</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社会艺术水平考级活动备案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w:t>
            </w:r>
            <w:r>
              <w:rPr>
                <w:rFonts w:hint="eastAsia" w:ascii="Times New Roman" w:hAnsi="Times New Roman" w:cs="Times New Roman"/>
                <w:b w:val="0"/>
                <w:bCs w:val="0"/>
                <w:i w:val="0"/>
                <w:iCs w:val="0"/>
                <w:color w:val="000000"/>
                <w:kern w:val="0"/>
                <w:sz w:val="20"/>
                <w:szCs w:val="20"/>
                <w:u w:val="none"/>
                <w:lang w:val="en-US" w:eastAsia="zh-CN" w:bidi="ar"/>
              </w:rPr>
              <w:t>中华人民共和国</w:t>
            </w: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社会艺术水平考级管理办法》（文化部令第 31 号发布，文化部令第 57 号修正）第十八条  艺术考级机构应当在开展艺术考级活动 5 日前，将考级简章、考级时间、考级地点、考生数量、考场安排、考官名单等情况报审批机关和艺术考级活动所在地县级以上文化行政部门备案，同时抄送文化市场综合执法机构。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17</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社会艺术水平考级机构委托考级活动的备案</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w:t>
            </w:r>
            <w:r>
              <w:rPr>
                <w:rFonts w:hint="eastAsia" w:ascii="Times New Roman" w:hAnsi="Times New Roman" w:cs="Times New Roman"/>
                <w:b w:val="0"/>
                <w:bCs w:val="0"/>
                <w:i w:val="0"/>
                <w:iCs w:val="0"/>
                <w:color w:val="000000"/>
                <w:kern w:val="0"/>
                <w:sz w:val="20"/>
                <w:szCs w:val="20"/>
                <w:u w:val="none"/>
                <w:lang w:val="en-US" w:eastAsia="zh-CN" w:bidi="ar"/>
              </w:rPr>
              <w:t>中华人民共和国</w:t>
            </w:r>
            <w:r>
              <w:rPr>
                <w:rFonts w:hint="default" w:ascii="Times New Roman" w:hAnsi="Times New Roman" w:eastAsia="方正仿宋_GBK" w:cs="Times New Roman"/>
                <w:b w:val="0"/>
                <w:bCs w:val="0"/>
                <w:i w:val="0"/>
                <w:iCs w:val="0"/>
                <w:color w:val="000000"/>
                <w:kern w:val="0"/>
                <w:sz w:val="20"/>
                <w:szCs w:val="20"/>
                <w:u w:val="none"/>
                <w:lang w:val="en-US" w:eastAsia="zh-CN" w:bidi="ar"/>
              </w:rPr>
              <w:t>社会艺术水平考级管理办法》（文化部令第 31 号发布，文化部令第 57 号修正）第十七条  艺术考级机构委托承办单位承办艺术考级活动的，应当自合作协议生效之日起 20 日内，将承办单位的基本情况和合作协议报审批机关及承办单位所在地县级以上文化行政部门备案，同时抄送文化市场综合执法机构。</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18</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博物馆举办陈列展览备案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eastAsia" w:ascii="Times New Roman" w:hAnsi="Times New Roman" w:cs="Times New Roman"/>
                <w:b w:val="0"/>
                <w:bCs w:val="0"/>
                <w:i w:val="0"/>
                <w:iCs w:val="0"/>
                <w:color w:val="000000"/>
                <w:kern w:val="0"/>
                <w:sz w:val="20"/>
                <w:szCs w:val="20"/>
                <w:u w:val="none"/>
                <w:lang w:val="en-US" w:eastAsia="zh-CN" w:bidi="ar"/>
              </w:rPr>
              <w:t>《博物馆条例》</w:t>
            </w:r>
            <w:r>
              <w:rPr>
                <w:rFonts w:hint="default" w:ascii="Times New Roman" w:hAnsi="Times New Roman" w:eastAsia="方正仿宋_GBK" w:cs="Times New Roman"/>
                <w:b w:val="0"/>
                <w:bCs w:val="0"/>
                <w:i w:val="0"/>
                <w:iCs w:val="0"/>
                <w:color w:val="000000"/>
                <w:kern w:val="0"/>
                <w:sz w:val="20"/>
                <w:szCs w:val="20"/>
                <w:u w:val="none"/>
                <w:lang w:val="en-US" w:eastAsia="zh-CN" w:bidi="ar"/>
              </w:rPr>
              <w:t>第三十一条  博物馆举办陈列展览的，应当在陈列展览开始之日 10 个工作日前，将陈列展览主题、展品说明、讲解词等向陈列展览举办地的文物主管部门或者其他有关部门备案。各级人民政府文物主管部门和博物馆行业组织应当加强对博物馆陈列展览的指导和监督。</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19</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博物馆文物藏品账目及档案备案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《中华人民共和国文物保护法》第三十六条  博物馆、图书馆和其他文物收藏单位对收藏的文物，必须区分文物等级，设置藏品档案，建立严格的管理制度，并报主管的文物行政部门备案。县级以上地方人民政府文物行政部门应当分别建立本行政区域内的馆藏文物档案；国务院文物行政部门应当建立国家一级文物藏品档案和其主管的国有文物收藏单位馆藏文物档案。</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eastAsia" w:ascii="Times New Roman" w:hAnsi="Times New Roman" w:cs="Times New Roman"/>
                <w:b w:val="0"/>
                <w:bCs w:val="0"/>
                <w:i w:val="0"/>
                <w:iCs w:val="0"/>
                <w:color w:val="000000"/>
                <w:kern w:val="0"/>
                <w:sz w:val="20"/>
                <w:szCs w:val="20"/>
                <w:u w:val="none"/>
                <w:lang w:val="en-US" w:eastAsia="zh-CN" w:bidi="ar"/>
              </w:rPr>
              <w:t>《博物馆条例》</w:t>
            </w:r>
            <w:r>
              <w:rPr>
                <w:rFonts w:hint="default" w:ascii="Times New Roman" w:hAnsi="Times New Roman" w:eastAsia="方正仿宋_GBK" w:cs="Times New Roman"/>
                <w:b w:val="0"/>
                <w:bCs w:val="0"/>
                <w:i w:val="0"/>
                <w:iCs w:val="0"/>
                <w:color w:val="000000"/>
                <w:kern w:val="0"/>
                <w:sz w:val="20"/>
                <w:szCs w:val="20"/>
                <w:u w:val="none"/>
                <w:lang w:val="en-US" w:eastAsia="zh-CN" w:bidi="ar"/>
              </w:rPr>
              <w:t>第二十二条  博物馆应当建立藏品账目及档案。藏品属于文物的，应当区分文物等级，单独设置文物档案，建立严格的管理制度，并报文物主管部门备案。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20</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非国有不可移动文物转让、抵押或者改变用途备案</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其他行政权力</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《中华人民共和国文物保护法》第二十五条  非国有不可移动文物不得转让、抵押给外国人。非国有不可移动 文物转让、抵押或者改变用途的，应当根据其级别报相应的文物行政部门备案。</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21</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公共文化设施免费开放</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《中共中央宣传部 财政部 文化部 国家文物局关于全国博物馆、纪念馆免费开放的通知》（中宣发〔2008〕2 号）全国各级文化文物部门归口管理的公共博物馆、纪念馆，全国</w:t>
            </w:r>
            <w:r>
              <w:rPr>
                <w:rFonts w:hint="eastAsia" w:ascii="Times New Roman" w:hAnsi="Times New Roman" w:cs="Times New Roman"/>
                <w:b w:val="0"/>
                <w:bCs w:val="0"/>
                <w:i w:val="0"/>
                <w:iCs w:val="0"/>
                <w:color w:val="000000"/>
                <w:kern w:val="0"/>
                <w:sz w:val="20"/>
                <w:szCs w:val="20"/>
                <w:u w:val="none"/>
                <w:lang w:val="en-US" w:eastAsia="zh-CN" w:bidi="ar"/>
              </w:rPr>
              <w:t>爱国主义教育基地</w:t>
            </w:r>
            <w:r>
              <w:rPr>
                <w:rFonts w:hint="default" w:ascii="Times New Roman" w:hAnsi="Times New Roman" w:eastAsia="方正仿宋_GBK" w:cs="Times New Roman"/>
                <w:b w:val="0"/>
                <w:bCs w:val="0"/>
                <w:i w:val="0"/>
                <w:iCs w:val="0"/>
                <w:color w:val="000000"/>
                <w:kern w:val="0"/>
                <w:sz w:val="20"/>
                <w:szCs w:val="20"/>
                <w:u w:val="none"/>
                <w:lang w:val="en-US" w:eastAsia="zh-CN" w:bidi="ar"/>
              </w:rPr>
              <w:t>全部免费开放。</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22</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旅游投诉处理</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游客旅游投诉</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《中华人民共和国旅游法》第九十一条  县级以上人民政府应当指定或者设立统一的旅游投诉受理机构。受理机构接到投诉，应当及时进行处理或者移交有关部门处理，并告知投诉者。第九十二条  旅游者与旅游经营者发生纠纷，可以通过下列途径解决：（二）向消费者协会、旅游投诉受理机构或者有关调解组织申请调解。第九十三条  消费者协会、旅游投诉受理机构和有关调解组织在双方自愿的基础上，依法对旅游者与旅游经营者之间的纠纷进行调解。</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exact"/>
          <w:jc w:val="center"/>
        </w:trPr>
        <w:tc>
          <w:tcPr>
            <w:tcW w:w="56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eastAsia" w:ascii="Times New Roman" w:hAnsi="Times New Roman" w:cs="Times New Roman"/>
                <w:b w:val="0"/>
                <w:bCs w:val="0"/>
                <w:i w:val="0"/>
                <w:iCs w:val="0"/>
                <w:color w:val="000000"/>
                <w:kern w:val="0"/>
                <w:sz w:val="20"/>
                <w:szCs w:val="20"/>
                <w:u w:val="none"/>
                <w:lang w:val="en-US" w:eastAsia="zh-CN" w:bidi="ar"/>
              </w:rPr>
              <w:t>23</w:t>
            </w:r>
          </w:p>
        </w:tc>
        <w:tc>
          <w:tcPr>
            <w:tcW w:w="129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送地方戏</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公共服务</w:t>
            </w:r>
          </w:p>
        </w:tc>
        <w:tc>
          <w:tcPr>
            <w:tcW w:w="9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《中共中央 国务院关于深入推进农业供给侧结构性改革加快培育农业农村发展新动能的若干意见》（中发</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en-US"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〔2017〕1 号）23.深入开展农村</w:t>
            </w:r>
            <w:r>
              <w:rPr>
                <w:rFonts w:hint="eastAsia" w:ascii="Times New Roman" w:hAnsi="Times New Roman" w:cs="Times New Roman"/>
                <w:b w:val="0"/>
                <w:bCs w:val="0"/>
                <w:i w:val="0"/>
                <w:iCs w:val="0"/>
                <w:color w:val="000000"/>
                <w:kern w:val="0"/>
                <w:sz w:val="20"/>
                <w:szCs w:val="20"/>
                <w:u w:val="none"/>
                <w:lang w:val="en-US" w:eastAsia="zh-CN" w:bidi="ar"/>
              </w:rPr>
              <w:t>人居环境整治</w:t>
            </w:r>
            <w:r>
              <w:rPr>
                <w:rFonts w:hint="default" w:ascii="Times New Roman" w:hAnsi="Times New Roman" w:eastAsia="方正仿宋_GBK" w:cs="Times New Roman"/>
                <w:b w:val="0"/>
                <w:bCs w:val="0"/>
                <w:i w:val="0"/>
                <w:iCs w:val="0"/>
                <w:color w:val="000000"/>
                <w:kern w:val="0"/>
                <w:sz w:val="20"/>
                <w:szCs w:val="20"/>
                <w:u w:val="none"/>
                <w:lang w:val="en-US" w:eastAsia="zh-CN" w:bidi="ar"/>
              </w:rPr>
              <w:t>和美丽宜居乡村建设。加强农村公共文化服务体系建设，统筹实施重点文化惠民项目，完善基层综合性文化服务设施，在农村地区深入开展送地方戏活动。</w:t>
            </w:r>
          </w:p>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left"/>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《国务院关于印发“十三五”推进基本公共服务均等化规划的通知》（国发〔2017〕9 号）第十章  基本公共文化体育。本领域服务项目共 10 项，具体包括：送地方戏。</w:t>
            </w:r>
          </w:p>
        </w:tc>
        <w:tc>
          <w:tcPr>
            <w:tcW w:w="1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w:t>
            </w:r>
          </w:p>
        </w:tc>
        <w:tc>
          <w:tcPr>
            <w:tcW w:w="14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ind w:left="66" w:leftChars="30" w:right="66" w:rightChars="30"/>
              <w:jc w:val="center"/>
              <w:textAlignment w:val="center"/>
              <w:rPr>
                <w:rFonts w:hint="default" w:ascii="Times New Roman" w:hAnsi="Times New Roman" w:eastAsia="方正仿宋_GBK" w:cs="Times New Roman"/>
                <w:b w:val="0"/>
                <w:bCs w:val="0"/>
                <w:i w:val="0"/>
                <w:iCs w:val="0"/>
                <w:color w:val="000000"/>
                <w:kern w:val="0"/>
                <w:sz w:val="20"/>
                <w:szCs w:val="20"/>
                <w:u w:val="none"/>
                <w:lang w:val="zh-CN" w:eastAsia="zh-CN" w:bidi="ar"/>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县文化和旅游局</w:t>
            </w:r>
          </w:p>
        </w:tc>
      </w:tr>
      <w:bookmarkEnd w:id="0"/>
    </w:tbl>
    <w:p>
      <w:pPr>
        <w:pStyle w:val="2"/>
        <w:spacing w:before="56"/>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备注：对政务服务事项设定依据涉及修改、废止的，按其规定执行</w:t>
      </w:r>
      <w:r>
        <w:rPr>
          <w:rFonts w:hint="default" w:ascii="Times New Roman" w:hAnsi="Times New Roman" w:eastAsia="方正仿宋_GBK" w:cs="Times New Roman"/>
          <w:b w:val="0"/>
          <w:bCs w:val="0"/>
          <w:sz w:val="32"/>
          <w:szCs w:val="32"/>
          <w:lang w:eastAsia="zh-CN"/>
        </w:rPr>
        <w:t>。</w:t>
      </w:r>
    </w:p>
    <w:sectPr>
      <w:footerReference r:id="rId3" w:type="default"/>
      <w:footerReference r:id="rId4" w:type="even"/>
      <w:pgSz w:w="16840" w:h="11910" w:orient="landscape"/>
      <w:pgMar w:top="703" w:right="1037" w:bottom="703" w:left="1037" w:header="0" w:footer="1587" w:gutter="0"/>
      <w:pgNumType w:fmt="decimal"/>
      <w:cols w:equalWidth="0" w:num="1">
        <w:col w:w="1498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6AC427F2-2C25-4686-9DEB-2203F8CCF5E4}"/>
  </w:font>
  <w:font w:name="方正黑体_GBK">
    <w:panose1 w:val="03000509000000000000"/>
    <w:charset w:val="86"/>
    <w:family w:val="auto"/>
    <w:pitch w:val="default"/>
    <w:sig w:usb0="00000001" w:usb1="080E0000" w:usb2="00000000" w:usb3="00000000" w:csb0="00040000" w:csb1="00000000"/>
    <w:embedRegular r:id="rId2" w:fontKey="{0C1F5DF9-6BB5-4A28-A466-47238E46E240}"/>
  </w:font>
  <w:font w:name="方正小标宋_GBK">
    <w:panose1 w:val="03000509000000000000"/>
    <w:charset w:val="86"/>
    <w:family w:val="auto"/>
    <w:pitch w:val="default"/>
    <w:sig w:usb0="00000001" w:usb1="080E0000" w:usb2="00000000" w:usb3="00000000" w:csb0="00040000" w:csb1="00000000"/>
    <w:embedRegular r:id="rId3" w:fontKey="{F2904A05-CA89-4AFC-BC53-8D3A79C209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NTBkMDFlNzA4N2I0ZDAyYWE0ZmIyY2FhMWJjMGQifQ=="/>
  </w:docVars>
  <w:rsids>
    <w:rsidRoot w:val="00000000"/>
    <w:rsid w:val="01F43671"/>
    <w:rsid w:val="03441784"/>
    <w:rsid w:val="04B26A71"/>
    <w:rsid w:val="05294561"/>
    <w:rsid w:val="052B7311"/>
    <w:rsid w:val="06513A0E"/>
    <w:rsid w:val="08863B44"/>
    <w:rsid w:val="0AD85411"/>
    <w:rsid w:val="0B6F695F"/>
    <w:rsid w:val="0B8F7494"/>
    <w:rsid w:val="0E4E1536"/>
    <w:rsid w:val="113A41B7"/>
    <w:rsid w:val="143A613D"/>
    <w:rsid w:val="1B4935BB"/>
    <w:rsid w:val="1C7008C5"/>
    <w:rsid w:val="1DEE6422"/>
    <w:rsid w:val="1FB65E99"/>
    <w:rsid w:val="21267A1D"/>
    <w:rsid w:val="226D2E85"/>
    <w:rsid w:val="22D400A5"/>
    <w:rsid w:val="256C0BF3"/>
    <w:rsid w:val="276778C5"/>
    <w:rsid w:val="2963728F"/>
    <w:rsid w:val="29882CA5"/>
    <w:rsid w:val="2AF844E1"/>
    <w:rsid w:val="2C775A80"/>
    <w:rsid w:val="2D9236AA"/>
    <w:rsid w:val="306C3D8C"/>
    <w:rsid w:val="33F67D41"/>
    <w:rsid w:val="398D1AE4"/>
    <w:rsid w:val="3ACA3985"/>
    <w:rsid w:val="3B49079D"/>
    <w:rsid w:val="3C14201A"/>
    <w:rsid w:val="3C4A1579"/>
    <w:rsid w:val="3D7C435E"/>
    <w:rsid w:val="3E183989"/>
    <w:rsid w:val="3E76695B"/>
    <w:rsid w:val="42874441"/>
    <w:rsid w:val="436E5FDA"/>
    <w:rsid w:val="43953E2A"/>
    <w:rsid w:val="453B01AE"/>
    <w:rsid w:val="46210B5B"/>
    <w:rsid w:val="48663E6A"/>
    <w:rsid w:val="48E91259"/>
    <w:rsid w:val="495970BD"/>
    <w:rsid w:val="4C194C70"/>
    <w:rsid w:val="4F070D2B"/>
    <w:rsid w:val="4F750DBA"/>
    <w:rsid w:val="51A524DD"/>
    <w:rsid w:val="524E21C0"/>
    <w:rsid w:val="530A6772"/>
    <w:rsid w:val="54223C0B"/>
    <w:rsid w:val="55141E76"/>
    <w:rsid w:val="56B80BB6"/>
    <w:rsid w:val="5C384AFE"/>
    <w:rsid w:val="5E4D2244"/>
    <w:rsid w:val="60841911"/>
    <w:rsid w:val="61103B84"/>
    <w:rsid w:val="61554387"/>
    <w:rsid w:val="61920AD0"/>
    <w:rsid w:val="63231FDA"/>
    <w:rsid w:val="637154AF"/>
    <w:rsid w:val="6545527D"/>
    <w:rsid w:val="65B53C5D"/>
    <w:rsid w:val="682D2294"/>
    <w:rsid w:val="6A0D57EB"/>
    <w:rsid w:val="6B5E420A"/>
    <w:rsid w:val="6C0B5D4D"/>
    <w:rsid w:val="6E2F2498"/>
    <w:rsid w:val="6FDA5CF4"/>
    <w:rsid w:val="6FEA6736"/>
    <w:rsid w:val="71803FB9"/>
    <w:rsid w:val="73B7749F"/>
    <w:rsid w:val="73C53836"/>
    <w:rsid w:val="74D4061A"/>
    <w:rsid w:val="750A7433"/>
    <w:rsid w:val="77973AF0"/>
    <w:rsid w:val="79197EFC"/>
    <w:rsid w:val="7A5D77E0"/>
    <w:rsid w:val="7BA03632"/>
    <w:rsid w:val="7C500416"/>
    <w:rsid w:val="7D6C771D"/>
    <w:rsid w:val="7E503597"/>
    <w:rsid w:val="7ECE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5"/>
    </w:pPr>
    <w:rPr>
      <w:rFonts w:ascii="方正仿宋_GBK" w:hAnsi="方正仿宋_GBK" w:eastAsia="方正仿宋_GBK" w:cs="方正仿宋_GBK"/>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216</Pages>
  <Words>238657</Words>
  <Characters>243642</Characters>
  <TotalTime>3</TotalTime>
  <ScaleCrop>false</ScaleCrop>
  <LinksUpToDate>false</LinksUpToDate>
  <CharactersWithSpaces>249442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2021-10-10T07:07:00Z</dcterms:created>
  <dc:creator>用户思治云</dc:creator>
  <cp:lastModifiedBy>mk</cp:lastModifiedBy>
  <cp:lastPrinted>2021-10-10T07:57:00Z</cp:lastPrinted>
  <dcterms:modified xsi:type="dcterms:W3CDTF">2024-05-09T07:13:16Z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2021-10-10T00:00:00Z</vt:filetime>
  </property>
  <property fmtid="{D5CDD505-2E9C-101B-9397-08002B2CF9AE}" pid="3" name="Creator">
    <vt:lpwstr>WPS 文字</vt:lpwstr>
  </property>
  <property fmtid="{D5CDD505-2E9C-101B-9397-08002B2CF9AE}" pid="4" name="LastSaved">
    <vt:filetime>2021-10-10T00:00:00Z</vt:filetime>
  </property>
  <property fmtid="{D5CDD505-2E9C-101B-9397-08002B2CF9AE}" pid="5" name="KSOProductBuildVer">
    <vt:lpwstr>2052-11.8.6.8810</vt:lpwstr>
  </property>
  <property fmtid="{D5CDD505-2E9C-101B-9397-08002B2CF9AE}" pid="6" name="ICV">
    <vt:lpwstr>C71B27E7183349BCB95262B2B6F797F3_13</vt:lpwstr>
  </property>
</Properties>
</file>